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45F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คำแนะนำสำหรับผู้นิพนธ์</w:t>
      </w:r>
    </w:p>
    <w:p w:rsidR="00E75F9A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  <w:cs/>
        </w:rPr>
      </w:pP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วารสารยินดีพิจารณาตีพิมพ์ต้นฉบับทุกต้นฉบับที่ได้รับ โดยบทความจะได้รับการพิจารณาจากกองบรรณาธิการ โดยผู้นิพนธ์ส่งต้นฉบับที่พิมพ์ตามข้อกำหนดของรูปแบบวารสาร จำนวน 1 ชุด พร้อมแผ่นดิสเก็ตต์ และดราฟท์หรือเอกสารการโอนเงินเข้าบัญชีออมทรัพย์ ชื่อบัญชี </w:t>
      </w:r>
      <w:r>
        <w:t>“</w:t>
      </w:r>
      <w:r>
        <w:rPr>
          <w:cs/>
        </w:rPr>
        <w:t>สวัสดิการคณะเภสัชศาสตร์</w:t>
      </w:r>
      <w:r>
        <w:t xml:space="preserve">” </w:t>
      </w:r>
      <w:r>
        <w:rPr>
          <w:cs/>
        </w:rPr>
        <w:t xml:space="preserve">เลขที่ 395-2-12711-9 ธนาคารกสิกรไทย สาขาองครักษ์ จำนวนเงิน 750 บาท มายัง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        บรรณาธิการไทยเภสัชศาสตร์และวิทยาการสุขภาพ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        คณะเภสัชศาสตร์ มหาวิทยาลัยศรีนครินทรวิโรฒ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        ถ.รังสิต-นครนายก อ.องครักษ์ จ.นครนายก 26120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สำหรับต้นฉบับบทความอาจส่งทางไปรษณีย์อิเล็กทรอ-นิกส์ (</w:t>
      </w:r>
      <w:proofErr w:type="gramStart"/>
      <w:r>
        <w:t>e-mail</w:t>
      </w:r>
      <w:proofErr w:type="gramEnd"/>
      <w:r>
        <w:t xml:space="preserve">) </w:t>
      </w:r>
      <w:r>
        <w:rPr>
          <w:cs/>
        </w:rPr>
        <w:t xml:space="preserve">มายังบรรณาธิการที่ </w:t>
      </w:r>
      <w:r>
        <w:t xml:space="preserve">charoen@swu.ac.th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ไฟล์ต้นฉบับควรสร้างด้วยโปรแกรม </w:t>
      </w:r>
      <w:r>
        <w:t xml:space="preserve">Microsoft Word </w:t>
      </w:r>
      <w:r>
        <w:rPr>
          <w:cs/>
        </w:rPr>
        <w:t>โดยยึดหลักต่อไปนี้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1. ละเว้นการจัดรูปแบบเอกสารอัตโนมัติ (</w:t>
      </w:r>
      <w:proofErr w:type="spellStart"/>
      <w:proofErr w:type="gramStart"/>
      <w:r>
        <w:t>autoformat</w:t>
      </w:r>
      <w:proofErr w:type="spellEnd"/>
      <w:proofErr w:type="gramEnd"/>
      <w:r>
        <w:t xml:space="preserve">) </w:t>
      </w:r>
      <w:r>
        <w:rPr>
          <w:cs/>
        </w:rPr>
        <w:t xml:space="preserve">เช่น </w:t>
      </w:r>
      <w:r>
        <w:t xml:space="preserve">heading </w:t>
      </w:r>
      <w:r>
        <w:rPr>
          <w:cs/>
        </w:rPr>
        <w:t>และรายการย่อยอัตโนมัติต่าง ๆ และไม่ต้องจัดรูปแบบให้เหมือนบทความที่เสร็จสมบูรณ์พร้อมตีพิมพ์แต่อย่างใด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2. ในการพิมพ์ หากจะเว้นวรรคระหว่างคำหรือประโยคต้องทำโดยการเคาะ </w:t>
      </w:r>
      <w:proofErr w:type="gramStart"/>
      <w:r>
        <w:t>space</w:t>
      </w:r>
      <w:proofErr w:type="gramEnd"/>
      <w:r>
        <w:t xml:space="preserve"> bar </w:t>
      </w:r>
      <w:r>
        <w:rPr>
          <w:cs/>
        </w:rPr>
        <w:t xml:space="preserve">ไม่เกินหนึ่งครั้ง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3. ควรใช้ตัวอักษรแบบ </w:t>
      </w:r>
      <w:proofErr w:type="spellStart"/>
      <w:r>
        <w:t>Browalia</w:t>
      </w:r>
      <w:proofErr w:type="spellEnd"/>
      <w:r>
        <w:t xml:space="preserve"> New </w:t>
      </w:r>
      <w:r>
        <w:rPr>
          <w:cs/>
        </w:rPr>
        <w:t>ขนาด 14</w:t>
      </w:r>
      <w:r>
        <w:t xml:space="preserve"> pt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4. ในการสร้างตารางนั้น ต้องสร้างโดยใช้คำสั่งหรือเครื่องมือสร้างตารางของโปรแกรม </w:t>
      </w:r>
      <w:r>
        <w:t xml:space="preserve">MS Word </w:t>
      </w:r>
      <w:r>
        <w:rPr>
          <w:cs/>
        </w:rPr>
        <w:t xml:space="preserve">ไม่ใช่การใช้เครื่องมือในการวาดเส้นหรือวาดรูป เพื่อวาดเส้นต่าง ๆ ประกอบกันเป็นตาราง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ในการส่งบทความ ผู้นิพนธ์ควรแจ้งนามจริงและที่อยู่/สังกัดของผู้นิพนธ์อย่างชัดเจน ในกรณีที่มีผู้นิพนธ์เป็นหมู่คณะให้ระบุชื่อผู้ประสานงานซึ่งบรรณาธิการจะสามารถติดต่อได้โดยสะดวก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กองบรรณาธิการขอสงวนสิทธิ์ในการพิจารณาและตีพิมพ์ต้นฉบับ/บทความทุกเรื่อง ต้นฉบับที่ส่งมาเพื่อการพิจารณาต้องไม่ใช่ต้นฉบับที่กำลังได้รับการพิจารณาอยู่โดยวารสารอื่น เนื้อหาในต้นฉบับควรเกิดจากการสังเคราะห์ความคิดขึ้นโดยผู้นิพนธ์เอง ไม่ได้ลอกเลียนหรือตัดทอนมาจากบทความอื่นโดยไม่ได้รับอนุญาตหรือปราศจากการอ้างอิงที่เหมาะสม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การอ้างอิง</w:t>
      </w:r>
      <w:r>
        <w:t>§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lastRenderedPageBreak/>
        <w:t>การอ้างอิงเอกสารให้ใช้ระบบตัวเลขยก (</w:t>
      </w:r>
      <w:proofErr w:type="gramStart"/>
      <w:r>
        <w:t>superscript</w:t>
      </w:r>
      <w:proofErr w:type="gramEnd"/>
      <w:r>
        <w:t xml:space="preserve">) </w:t>
      </w:r>
      <w:r>
        <w:rPr>
          <w:cs/>
        </w:rPr>
        <w:t xml:space="preserve">ระบุที่ท้ายเนื้อหาที่นำมาอ้างอิง เรียงตามลำดับการอ้างอิงที่ปรากฏในบทความ และนำมารวบรวมไว้ในรายการเอกสารอ้างอิงที่อยู่ท้ายเรื่อง โดยใช้รูปแบบการอ้างอิงดังตัวอย่างต่อไปนี้ 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1. </w:t>
      </w:r>
      <w:r>
        <w:t xml:space="preserve">Research articles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r>
        <w:t>Bodmeier</w:t>
      </w:r>
      <w:proofErr w:type="spellEnd"/>
      <w:r>
        <w:t xml:space="preserve"> R, </w:t>
      </w:r>
      <w:proofErr w:type="spellStart"/>
      <w:r>
        <w:t>Paeratakul</w:t>
      </w:r>
      <w:proofErr w:type="spellEnd"/>
      <w:r>
        <w:t xml:space="preserve"> O. Plasticizer uptake by aqueous colloidal polymer dispersions used for the coating of solid dosage forms. </w:t>
      </w:r>
      <w:proofErr w:type="spellStart"/>
      <w:r>
        <w:t>Int</w:t>
      </w:r>
      <w:proofErr w:type="spellEnd"/>
      <w:r>
        <w:t xml:space="preserve"> J </w:t>
      </w:r>
      <w:proofErr w:type="spellStart"/>
      <w:r>
        <w:t>Pharm</w:t>
      </w:r>
      <w:proofErr w:type="spellEnd"/>
      <w:r>
        <w:t xml:space="preserve"> </w:t>
      </w:r>
      <w:r>
        <w:rPr>
          <w:cs/>
        </w:rPr>
        <w:t>1997</w:t>
      </w:r>
      <w:r>
        <w:t xml:space="preserve">; </w:t>
      </w:r>
      <w:r>
        <w:rPr>
          <w:cs/>
        </w:rPr>
        <w:t>152(4):17-26.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2. </w:t>
      </w:r>
      <w:r>
        <w:t xml:space="preserve">Book chapters &amp; Books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r>
        <w:t>Bodmeier</w:t>
      </w:r>
      <w:proofErr w:type="spellEnd"/>
      <w:r>
        <w:t xml:space="preserve"> R, </w:t>
      </w:r>
      <w:proofErr w:type="spellStart"/>
      <w:r>
        <w:t>Paeratakul</w:t>
      </w:r>
      <w:proofErr w:type="spellEnd"/>
      <w:r>
        <w:t xml:space="preserve"> O. Suspensions and dispersible dosage forms of </w:t>
      </w:r>
      <w:proofErr w:type="spellStart"/>
      <w:r>
        <w:t>multiparticulates</w:t>
      </w:r>
      <w:proofErr w:type="spellEnd"/>
      <w:r>
        <w:t xml:space="preserve">. In: </w:t>
      </w:r>
      <w:proofErr w:type="spellStart"/>
      <w:r>
        <w:t>Ghebre-Sellassie</w:t>
      </w:r>
      <w:proofErr w:type="spellEnd"/>
      <w:r>
        <w:t xml:space="preserve"> I (</w:t>
      </w:r>
      <w:proofErr w:type="gramStart"/>
      <w:r>
        <w:t>ed</w:t>
      </w:r>
      <w:proofErr w:type="gramEnd"/>
      <w:r>
        <w:t xml:space="preserve">.). </w:t>
      </w:r>
      <w:proofErr w:type="spellStart"/>
      <w:proofErr w:type="gramStart"/>
      <w:r>
        <w:t>Multiparticulate</w:t>
      </w:r>
      <w:proofErr w:type="spellEnd"/>
      <w:r>
        <w:t xml:space="preserve"> oral drug delivery (drugs and the pharmaceutical sciences series, Vol. </w:t>
      </w:r>
      <w:r>
        <w:rPr>
          <w:cs/>
        </w:rPr>
        <w:t>65).</w:t>
      </w:r>
      <w:proofErr w:type="gramEnd"/>
      <w:r>
        <w:rPr>
          <w:cs/>
        </w:rPr>
        <w:t xml:space="preserve"> </w:t>
      </w:r>
      <w:r>
        <w:t xml:space="preserve">New York. Marcel Dekker, </w:t>
      </w:r>
      <w:r>
        <w:rPr>
          <w:cs/>
        </w:rPr>
        <w:t xml:space="preserve">1994: </w:t>
      </w:r>
      <w:r>
        <w:t>pp.</w:t>
      </w:r>
      <w:r>
        <w:rPr>
          <w:cs/>
        </w:rPr>
        <w:t xml:space="preserve">143-157. </w:t>
      </w:r>
      <w:r>
        <w:cr/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t xml:space="preserve">Patton TC. Paint flow and pigment dispersion - a rheological approach in coating and ink technology. New York. Wiley, </w:t>
      </w:r>
      <w:r>
        <w:rPr>
          <w:cs/>
        </w:rPr>
        <w:t xml:space="preserve">1979: </w:t>
      </w:r>
      <w:r>
        <w:t>pp.</w:t>
      </w:r>
      <w:r>
        <w:rPr>
          <w:cs/>
        </w:rPr>
        <w:t>126-204.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วงศ์สถิตย์ ฉั่วกุล</w:t>
      </w:r>
      <w:proofErr w:type="gramStart"/>
      <w:r>
        <w:t xml:space="preserve">, </w:t>
      </w:r>
      <w:r>
        <w:rPr>
          <w:cs/>
        </w:rPr>
        <w:t>พร้อมจิต ศรลัมพ์</w:t>
      </w:r>
      <w:r>
        <w:t xml:space="preserve">, </w:t>
      </w:r>
      <w:r>
        <w:rPr>
          <w:cs/>
        </w:rPr>
        <w:t>วิชิต เปานิล</w:t>
      </w:r>
      <w:r>
        <w:t xml:space="preserve">, </w:t>
      </w:r>
      <w:r>
        <w:rPr>
          <w:cs/>
        </w:rPr>
        <w:t>รุ่งระวี เต็มศิริฤกษ์กุล (บรรณาธิการ).</w:t>
      </w:r>
      <w:proofErr w:type="gramEnd"/>
      <w:r>
        <w:rPr>
          <w:cs/>
        </w:rPr>
        <w:t xml:space="preserve"> สมุนไพรพื้นบ้านล้านนา. กรุงเทพมหานคร. อัมรินทร์พริ้นติ้งแอนด์พับบลิชชิง (มหาชน)</w:t>
      </w:r>
      <w:r>
        <w:t xml:space="preserve">, </w:t>
      </w:r>
      <w:r>
        <w:rPr>
          <w:cs/>
        </w:rPr>
        <w:t xml:space="preserve">2539: น.55.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วีระชัย ณ นคร. สวนพฤกษศาสตร์สมเด็จพระนางเจ้าสิริกิติ์ เล่ม 2. กรุงเทพมหานคร. โอ เอส พริ้นติ้งเฮ้าส์</w:t>
      </w:r>
      <w:r>
        <w:t xml:space="preserve">, </w:t>
      </w:r>
      <w:r>
        <w:rPr>
          <w:cs/>
        </w:rPr>
        <w:t>2539:น.60</w:t>
      </w:r>
      <w:proofErr w:type="gramStart"/>
      <w:r>
        <w:rPr>
          <w:cs/>
        </w:rPr>
        <w:t>,80,103</w:t>
      </w:r>
      <w:proofErr w:type="gramEnd"/>
      <w:r>
        <w:rPr>
          <w:cs/>
        </w:rPr>
        <w:t>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3. </w:t>
      </w:r>
      <w:r>
        <w:t xml:space="preserve">Thesis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พูนศิริ อรุณเนตร. ผลการสอนโดยใช้กระบวนการกลุ่มต่อความรู้เรื่องโรคเบาหวาน พฤติกรรมการดูแลตนเองและการควบคุมโรคของผู้ป่วยเบาหวานชนิดไม่พึ่งอินซูลิน. วิทยานิพนธ์ พยาบาลศาสตรมหาบัณฑิต. กรุงเทพฯ. บัณฑิตวิทยาลัย มหาวิทยาลัยมหิดล</w:t>
      </w:r>
      <w:r>
        <w:t xml:space="preserve">, </w:t>
      </w:r>
      <w:r>
        <w:rPr>
          <w:cs/>
        </w:rPr>
        <w:t>2541.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proofErr w:type="gramStart"/>
      <w:r>
        <w:t>Anuwong</w:t>
      </w:r>
      <w:proofErr w:type="spellEnd"/>
      <w:r>
        <w:t xml:space="preserve"> W. Adverse drug reaction monitoring in children’s hospital.</w:t>
      </w:r>
      <w:proofErr w:type="gramEnd"/>
      <w:r>
        <w:t xml:space="preserve"> M. Sc. (Pharmacy) thesis. Bangkok. </w:t>
      </w:r>
      <w:proofErr w:type="spellStart"/>
      <w:proofErr w:type="gramStart"/>
      <w:r>
        <w:t>Mahidol</w:t>
      </w:r>
      <w:proofErr w:type="spellEnd"/>
      <w:r>
        <w:t xml:space="preserve"> University, </w:t>
      </w:r>
      <w:r>
        <w:rPr>
          <w:cs/>
        </w:rPr>
        <w:t>1993.</w:t>
      </w:r>
      <w:proofErr w:type="gramEnd"/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lastRenderedPageBreak/>
        <w:t xml:space="preserve">4. </w:t>
      </w:r>
      <w:r>
        <w:t>Abstracts &amp; Proceedings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r>
        <w:t>Paeratakul</w:t>
      </w:r>
      <w:proofErr w:type="spellEnd"/>
      <w:r>
        <w:t xml:space="preserve"> O, </w:t>
      </w:r>
      <w:proofErr w:type="spellStart"/>
      <w:r>
        <w:t>Bodmeier</w:t>
      </w:r>
      <w:proofErr w:type="spellEnd"/>
      <w:r>
        <w:t xml:space="preserve"> R. </w:t>
      </w:r>
      <w:proofErr w:type="spellStart"/>
      <w:r>
        <w:t>Microporous</w:t>
      </w:r>
      <w:proofErr w:type="spellEnd"/>
      <w:r>
        <w:t xml:space="preserve"> coatings prepared from aqueous latexes. </w:t>
      </w:r>
      <w:r>
        <w:rPr>
          <w:cs/>
        </w:rPr>
        <w:t>4</w:t>
      </w:r>
      <w:proofErr w:type="spellStart"/>
      <w:r>
        <w:t>th</w:t>
      </w:r>
      <w:proofErr w:type="spellEnd"/>
      <w:r>
        <w:t xml:space="preserve"> National Meeting of the American Association of Pharmaceutical Scientists, Atlanta. </w:t>
      </w:r>
      <w:proofErr w:type="spellStart"/>
      <w:r>
        <w:t>Pharm</w:t>
      </w:r>
      <w:proofErr w:type="spellEnd"/>
      <w:r>
        <w:t xml:space="preserve"> Res </w:t>
      </w:r>
      <w:r>
        <w:rPr>
          <w:cs/>
        </w:rPr>
        <w:t>1989</w:t>
      </w:r>
      <w:proofErr w:type="gramStart"/>
      <w:r>
        <w:t>;</w:t>
      </w:r>
      <w:r>
        <w:rPr>
          <w:cs/>
        </w:rPr>
        <w:t>6</w:t>
      </w:r>
      <w:proofErr w:type="gramEnd"/>
      <w:r>
        <w:rPr>
          <w:cs/>
        </w:rPr>
        <w:t>(9):</w:t>
      </w:r>
      <w:r>
        <w:t>S</w:t>
      </w:r>
      <w:r>
        <w:rPr>
          <w:cs/>
        </w:rPr>
        <w:t>102.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r>
        <w:t>Bodmeier</w:t>
      </w:r>
      <w:proofErr w:type="spellEnd"/>
      <w:r>
        <w:t xml:space="preserve"> R, </w:t>
      </w:r>
      <w:proofErr w:type="spellStart"/>
      <w:r>
        <w:t>Paeratakul</w:t>
      </w:r>
      <w:proofErr w:type="spellEnd"/>
      <w:r>
        <w:t xml:space="preserve"> O. Process and formulation variables affecting the drug release from beads coated with aqueous ethyl cellulose latexes.  </w:t>
      </w:r>
      <w:proofErr w:type="gramStart"/>
      <w:r>
        <w:t xml:space="preserve">Proceedings of the </w:t>
      </w:r>
      <w:r>
        <w:rPr>
          <w:cs/>
        </w:rPr>
        <w:t>10</w:t>
      </w:r>
      <w:proofErr w:type="spellStart"/>
      <w:r>
        <w:t>th</w:t>
      </w:r>
      <w:proofErr w:type="spellEnd"/>
      <w:r>
        <w:t xml:space="preserve"> International Pharmaceutical Technology Conference, Bologna, Italy.</w:t>
      </w:r>
      <w:proofErr w:type="gramEnd"/>
      <w:r>
        <w:t xml:space="preserve"> Apr. </w:t>
      </w:r>
      <w:r>
        <w:rPr>
          <w:cs/>
        </w:rPr>
        <w:t>1991.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5. </w:t>
      </w:r>
      <w:r>
        <w:t>Patents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gramStart"/>
      <w:r>
        <w:t xml:space="preserve">Higuchi T, U.S. Patent </w:t>
      </w:r>
      <w:r>
        <w:rPr>
          <w:cs/>
        </w:rPr>
        <w:t>4</w:t>
      </w:r>
      <w:r>
        <w:t xml:space="preserve">, </w:t>
      </w:r>
      <w:r>
        <w:rPr>
          <w:cs/>
        </w:rPr>
        <w:t>439</w:t>
      </w:r>
      <w:r>
        <w:t xml:space="preserve">, </w:t>
      </w:r>
      <w:r>
        <w:rPr>
          <w:cs/>
        </w:rPr>
        <w:t>196 (1984).</w:t>
      </w:r>
      <w:proofErr w:type="gramEnd"/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6. </w:t>
      </w:r>
      <w:r>
        <w:t>Others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t xml:space="preserve">Pratt TA, </w:t>
      </w:r>
      <w:proofErr w:type="spellStart"/>
      <w:r>
        <w:t>Kuckelman</w:t>
      </w:r>
      <w:proofErr w:type="spellEnd"/>
      <w:r>
        <w:t xml:space="preserve"> JF. The learned intermediary doctrine and direct-to-consumer advertising of prescription drugs. (Accessed on Jun. </w:t>
      </w:r>
      <w:r>
        <w:rPr>
          <w:cs/>
        </w:rPr>
        <w:t>27</w:t>
      </w:r>
      <w:r>
        <w:t xml:space="preserve">, </w:t>
      </w:r>
      <w:r>
        <w:rPr>
          <w:cs/>
        </w:rPr>
        <w:t>2003</w:t>
      </w:r>
      <w:r>
        <w:t>, at http:// www.thefederation.org/ documents/pratt.htm)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ธีรพจน์ ฟักน้อย. พืชสมุนไพร. (สืบค้นข้อมูลวันที่ 7 ธันวาคม 2548</w:t>
      </w:r>
      <w:r>
        <w:t xml:space="preserve">, </w:t>
      </w:r>
      <w:r>
        <w:rPr>
          <w:cs/>
        </w:rPr>
        <w:t xml:space="preserve">ที่ </w:t>
      </w:r>
      <w:r>
        <w:t>http://www.med.tu.ac.th/Depart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proofErr w:type="spellStart"/>
      <w:proofErr w:type="gramStart"/>
      <w:r>
        <w:t>ment</w:t>
      </w:r>
      <w:proofErr w:type="spellEnd"/>
      <w:proofErr w:type="gramEnd"/>
      <w:r>
        <w:t xml:space="preserve">/ Herbs/main.html)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 xml:space="preserve">หมายเหตุ: หากมีชื่อผู้นิพนธ์มากกว่า 6 ท่าน ให้แสดงเพียง 3 ชื่อแรก แล้วตามด้วย </w:t>
      </w:r>
      <w:r>
        <w:t>“</w:t>
      </w:r>
      <w:r>
        <w:rPr>
          <w:cs/>
        </w:rPr>
        <w:t>และคณะ</w:t>
      </w:r>
      <w:r>
        <w:t xml:space="preserve">” </w:t>
      </w:r>
      <w:r>
        <w:rPr>
          <w:cs/>
        </w:rPr>
        <w:t xml:space="preserve">หรือ </w:t>
      </w:r>
      <w:r>
        <w:t xml:space="preserve">“et al” 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กิตติกรรมประกาศ</w:t>
      </w:r>
    </w:p>
    <w:p w:rsidR="002E00B9" w:rsidRDefault="007B4E9C" w:rsidP="007B4E9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hint="cs"/>
        </w:rPr>
      </w:pPr>
      <w:r>
        <w:rPr>
          <w:cs/>
        </w:rPr>
        <w:t>กิตติกรรมประกาศ (</w:t>
      </w:r>
      <w:proofErr w:type="gramStart"/>
      <w:r>
        <w:t>acknowledgements</w:t>
      </w:r>
      <w:proofErr w:type="gramEnd"/>
      <w:r>
        <w:t xml:space="preserve">) </w:t>
      </w:r>
      <w:r>
        <w:rPr>
          <w:cs/>
        </w:rPr>
        <w:t>เพื่อกล่าวขอบคุณบุคคล หน่วยงาน สถาบัน ที่สนับสนุนการวิจัย ควรอยู่ในหน้าสุดท้ายของเนื้อความ ควรระบุแหล่งทุนที่สนับสนุนงานวิจัยด้วย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  <w:rPr>
          <w:rFonts w:hint="cs"/>
        </w:rPr>
      </w:pPr>
    </w:p>
    <w:p w:rsidR="007B4E9C" w:rsidRDefault="007B4E9C" w:rsidP="007B4E9C">
      <w:pPr>
        <w:pStyle w:val="NormalWeb"/>
        <w:shd w:val="clear" w:color="auto" w:fill="FFFFFF"/>
        <w:spacing w:line="360" w:lineRule="atLeast"/>
        <w:textAlignment w:val="baseline"/>
        <w:rPr>
          <w:rFonts w:hint="cs"/>
        </w:rPr>
      </w:pPr>
    </w:p>
    <w:p w:rsidR="007B4E9C" w:rsidRDefault="007B4E9C" w:rsidP="007B4E9C">
      <w:pPr>
        <w:pStyle w:val="NormalWeb"/>
        <w:shd w:val="clear" w:color="auto" w:fill="FFFFFF"/>
        <w:spacing w:line="360" w:lineRule="atLeast"/>
        <w:textAlignment w:val="baseline"/>
        <w:rPr>
          <w:rFonts w:hint="cs"/>
        </w:rPr>
      </w:pPr>
    </w:p>
    <w:p w:rsidR="007B4E9C" w:rsidRDefault="007B4E9C" w:rsidP="007B4E9C">
      <w:pPr>
        <w:pStyle w:val="NormalWeb"/>
        <w:shd w:val="clear" w:color="auto" w:fill="FFFFFF"/>
        <w:spacing w:line="360" w:lineRule="atLeast"/>
        <w:textAlignment w:val="baseline"/>
        <w:rPr>
          <w:rFonts w:hint="cs"/>
        </w:rPr>
      </w:pPr>
    </w:p>
    <w:p w:rsidR="007B4E9C" w:rsidRDefault="007B4E9C" w:rsidP="007B4E9C">
      <w:pPr>
        <w:pStyle w:val="NormalWeb"/>
        <w:shd w:val="clear" w:color="auto" w:fill="FFFFFF"/>
        <w:spacing w:line="360" w:lineRule="atLeast"/>
        <w:textAlignment w:val="baseline"/>
        <w:rPr>
          <w:rFonts w:hint="cs"/>
        </w:rPr>
      </w:pPr>
    </w:p>
    <w:p w:rsidR="007B4E9C" w:rsidRDefault="007B4E9C" w:rsidP="007B4E9C">
      <w:pPr>
        <w:pStyle w:val="NormalWeb"/>
        <w:shd w:val="clear" w:color="auto" w:fill="FFFFFF"/>
        <w:spacing w:line="360" w:lineRule="atLeast"/>
        <w:textAlignment w:val="baseline"/>
      </w:pPr>
      <w:r>
        <w:rPr>
          <w:cs/>
        </w:rPr>
        <w:lastRenderedPageBreak/>
        <w:t>ลิขสิทธิ์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ต้นฉบับที่ได้รับการตีพิมพ์ในวารสารนี้ถือเป็นสิทธิ์ของ ไทยเภสัชศาสตร์และวิทยาการสุขภาพ การนำข้อความใด ๆ ซึ่งเป็นส่วนหนึ่งหรือทั้งหมดของต้นฉบับไปตีพิมพ์ใหม่จะต้องได้รับอนุญาตจากเจ้าของต้นฉบับและวารสารก่อน</w:t>
      </w: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</w:p>
    <w:p w:rsidR="007B4E9C" w:rsidRDefault="007B4E9C" w:rsidP="007B4E9C">
      <w:pPr>
        <w:pStyle w:val="NormalWeb"/>
        <w:shd w:val="clear" w:color="auto" w:fill="FFFFFF"/>
        <w:spacing w:after="0" w:line="360" w:lineRule="atLeast"/>
        <w:textAlignment w:val="baseline"/>
      </w:pPr>
      <w:r>
        <w:rPr>
          <w:cs/>
        </w:rPr>
        <w:t>ความรับผิดชอบ</w:t>
      </w:r>
    </w:p>
    <w:p w:rsidR="007B4E9C" w:rsidRDefault="007B4E9C" w:rsidP="007B4E9C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hint="cs"/>
          <w:cs/>
        </w:rPr>
      </w:pPr>
      <w:r>
        <w:rPr>
          <w:cs/>
        </w:rPr>
        <w:t>ผลการวิจัยและความคิดเห็นที่ปรากฏในบทความเป็นความรับผิดชอบของผู้นิพนธ์ ทั้งนี้ไม่รวมความผิดพลาดอันเกิดจากเทคนิคการพิมพ์</w:t>
      </w:r>
    </w:p>
    <w:sectPr w:rsidR="007B4E9C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363226"/>
    <w:rsid w:val="007B4E9C"/>
    <w:rsid w:val="00855B1A"/>
    <w:rsid w:val="008F145F"/>
    <w:rsid w:val="00CB4775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4</cp:revision>
  <dcterms:created xsi:type="dcterms:W3CDTF">2012-10-08T04:20:00Z</dcterms:created>
  <dcterms:modified xsi:type="dcterms:W3CDTF">2012-10-09T02:52:00Z</dcterms:modified>
</cp:coreProperties>
</file>