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45F" w:rsidRDefault="00E75F9A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 w:hint="cs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shd w:val="clear" w:color="auto" w:fill="FFFFFF"/>
          <w:cs/>
        </w:rPr>
        <w:t>คำแนะนำสำหรับผู้นิพนธ์</w:t>
      </w:r>
    </w:p>
    <w:p w:rsidR="00E75F9A" w:rsidRDefault="00E75F9A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 w:hint="cs"/>
          <w:color w:val="333333"/>
          <w:cs/>
        </w:rPr>
      </w:pP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วารสารยินดีพิจารณาตีพิมพ์ต้นฉบับทุกต้นฉบับที่ได้รับโดยบทความจะได้รับการพิจารณาจากกองบรรณาธิการ โดยผู้นิพนธ์ส่งต้นฉบับที่พิมพ์ตามข้อกำหนดของรูปแบบวารสาร จำนวน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1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ชุด พร้อมแผ่นดิสเก็ตต์ และดราฟท์หรือเอกสารการโอนเงินเข้าบัญชีออมทรัพย์ ชื่อบัญชี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“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สวัสดิการคณะเภสัชศาสตร์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”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เลขที่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395-2-12711-9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ธนาคารกสิกรไทย สาขาองครักษ์ จำนวนเงิน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750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บาท มายัง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>บรรณาธิการไทยเภสัชศาสตร์และวิทยาการสุขภาพ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>คณะเภสัชศาสตร์ มหาวิทยาลัยศรีนครินทรวิโรฒ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>ถ</w:t>
      </w:r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.</w:t>
      </w:r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 xml:space="preserve">รังสิต-นครนายก อ.องครักษ์ จ.นครนายก </w:t>
      </w:r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26120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สำหรับต้นฉบับบทความอาจส่งทางไปรษณีย์อิเล็กทรอ-นิกส์ (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e-mail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)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มายังบรรณาธิการที่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charoen@swu.ac.th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ไฟล์ต้นฉบับควรสร้างด้วยโปรแกรม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Microsoft Word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โดยยึดหลักต่อไปนี้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1.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ละเว้นการจัดรูปแบบเอกสารอัตโนมัติ (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autoformat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)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เช่น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heading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และรายการย่อยอัตโนมัติต่าง ๆ และไม่ต้องจัดรูปแบบให้เหมือนบทความที่เสร็จสมบูรณ์พร้อมตีพิมพ์แต่อย่างใด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2.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ในการพิมพ์ หากจะเว้นวรรคระหว่างคำหรือประโยคต้องทำโดยการเคาะ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space bar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ไม่เกินหนึ่งครั้ง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3.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ควรใช้ตัวอักษรแบบ 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Browalia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New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ขนาด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14 pt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4.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ในการสร้างตารางนั้น ต้องสร้างโดยใช้คำสั่งหรือเครื่องมือสร้างตารางของโปรแกรม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MS Word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ไม่ใช่การใช้เครื่องมือในการวาดเส้นหรือวาดรูป เพื่อวาดเส้นต่าง ๆ ประกอบกันเป็นตาราง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5.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บทคัดย่อมีความยาวตามจำเป็น และจัดแบ่งตามหัวข้อดังนี้ วัตถุประสงค์ (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objective)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วิธีการศึกษา (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method)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ผลการศึกษา (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results)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และสรุป (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conclusion)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6.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เนื้อหาบทความวิจัย (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original research paper)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ให้แบ่งเนื้อหาเป็นหัวข้อหลักดังนี้ บทนำ วิธีการศึกษา ผลการศึกษา อภิปรายผลการศึกษา และสรุปผลการศึกษา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ในการส่งบทความ ผู้นิพนธ์ควรแจ้งนามจริงและที่อยู่/สังกัดของผู้นิพนธ์อย่างชัดเจน ในกรณีที่มีผู้นิพนธ์เป็นหมู่คณะให้ระบุชื่อผู้ประสานงานซึ่งบรรณาธิการจะสามารถติดต่อได้โดยสะดวก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lastRenderedPageBreak/>
        <w:t>กองบรรณาธิการขอสงวนสิทธิ์ในการพิจารณาและตีพิมพ์ต้นฉบับ/บทความทุกเรื่อง ต้นฉบับที่ส่งมาเพื่อการพิจารณาต้องไม่ใช่ต้นฉบับที่กำลังได้รับการพิจารณาอยู่โดยวารสารอื่น เนื้อหาในต้นฉบับควรเกิดจากการสังเคราะห์ความคิดขึ้นโดยผู้นิพนธ์เอง ไม่ได้ลอกเลียนหรือตัดทอนมาจากบทความอื่นโดยไม่ได้รับอนุญาตหรือปราศจากการอ้างอิงที่เหมาะสม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การอ้างอิง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การอ้างอิงเอกสารให้ใช้ระบบตัวเลขยก (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superscript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)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ระบุที่ท้ายเนื้อหาที่นำมาอ้างอิง เรียงตามลำดับการอ้างอิงที่ปรากฏในบทความ และนำมารวบรวมไว้ในรายการเอกสารอ้างอิงที่อยู่ท้ายเรื่อง โดยใช้รูปแบบการอ้างอิงดังตัวอย่างต่อไปนี้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1.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 </w:t>
      </w: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Research articles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Bodmeier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R, 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Paeratakul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O. Plasticizer uptake by aqueous colloidal polymer dispersions used for the coating of solid dosage forms. </w:t>
      </w:r>
      <w:proofErr w:type="spellStart"/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Int</w:t>
      </w:r>
      <w:proofErr w:type="spellEnd"/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 xml:space="preserve"> J </w:t>
      </w:r>
      <w:proofErr w:type="spellStart"/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Pharm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 1997; 152(4):17-26.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2. Book chapters &amp; Books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Bodmeier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R, 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Paeratakul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O. Suspensions and dispersible dosage forms of 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multiparticulates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. In: 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Ghebre-Sellassie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I (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ed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.). </w:t>
      </w:r>
      <w:proofErr w:type="spellStart"/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Multiparticulate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oral drug delivery (drugs and the pharmaceutical sciences series, Vol. 65).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New York. Marcel Dekker, 1994: pp.143-157.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</w:rPr>
        <w:t>Patton TC. Paint flow and pigment dispersion – a rheological approach in coating and ink technology. New York. Wiley, 1979: pp.126-204.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วงศ์สถิตย์ ฉั่วกุล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,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พร้อมจิต ศรลัมพ์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,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วิชิต เปานิล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,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รุ่งระวี เต็มศิริฤกษ์กุล (บรรณาธิการ).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 สมุนไพรพื้นบ้านล้านนา. กรุงเทพมหานคร. อัมรินทร์พริ้นติ้งแอนด์พับบลิชชิง (มหาชน)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, 2539: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น.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55.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วีระชัย ณ นคร. สวนพฤกษศาสตร์สมเด็จพระนางเจ้าสิริกิติ์ เล่ม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2.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กรุงเทพมหานคร. โอ เอส พริ้นติ้งเฮ้าส์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, 2539: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น.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60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,80,103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.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3. Thesis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Anuwong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W. Adverse drug reaction monitoring in children’s hospital.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M. Sc. (Pharmacy) thesis. Bangkok. </w:t>
      </w:r>
      <w:proofErr w:type="spellStart"/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Mahidol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University, 1993.</w:t>
      </w:r>
      <w:proofErr w:type="gramEnd"/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พูนศิริ อรุณเนตร. ผลการสอนโดยใช้กระบวนการกลุ่มต่อความรู้เรื่องโรคเบาหวาน พฤติกรรมการดูแลตนเองและการควบคุมโรคของผู้ป่วยเบาหวานชนิดไม่พึ่งอินซูลิน. วิทยานิพนธ์ พยาบาลศาสตรมหาบัณฑิต. กรุงเทพฯ. บัณฑิตวิทยาลัย มหาวิทยาลัยมหิดล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, 2541.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lastRenderedPageBreak/>
        <w:t>4. Abstracts &amp; Proceedings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Paeratakul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O, 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Bodmeier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R. 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Microporous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coatings prepared from aqueous latexes. 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4</w:t>
      </w:r>
      <w:r w:rsidRPr="00E75F9A">
        <w:rPr>
          <w:rFonts w:ascii="Georgia" w:eastAsia="Times New Roman" w:hAnsi="Georgia" w:cs="Tahoma"/>
          <w:color w:val="333333"/>
          <w:sz w:val="15"/>
          <w:szCs w:val="15"/>
          <w:bdr w:val="none" w:sz="0" w:space="0" w:color="auto" w:frame="1"/>
          <w:vertAlign w:val="superscript"/>
        </w:rPr>
        <w:t>th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National Meeting of the American Association of Pharmaceutical Scientists, Atlanta.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 </w:t>
      </w:r>
      <w:proofErr w:type="spellStart"/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Pharm</w:t>
      </w:r>
      <w:proofErr w:type="spellEnd"/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 xml:space="preserve"> Res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 1989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;6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(9):S102.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Bodmeier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R, 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Paeratakul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O. Process and formulation variables affecting the drug release from beads coated with aqueous ethyl cellulose latexes.  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Proceedings of the 10</w:t>
      </w:r>
      <w:r w:rsidRPr="00E75F9A">
        <w:rPr>
          <w:rFonts w:ascii="Georgia" w:eastAsia="Times New Roman" w:hAnsi="Georgia" w:cs="Tahoma"/>
          <w:color w:val="333333"/>
          <w:sz w:val="15"/>
          <w:szCs w:val="15"/>
          <w:bdr w:val="none" w:sz="0" w:space="0" w:color="auto" w:frame="1"/>
          <w:vertAlign w:val="superscript"/>
        </w:rPr>
        <w:t>th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International Pharmaceutical Technology Conference, Bologna, Italy.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Apr. 1991.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5. Patents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Higuchi T, U.S. Patent 4, 439, 196 (1984).</w:t>
      </w:r>
      <w:proofErr w:type="gramEnd"/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6. Others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Pratt TA, </w:t>
      </w:r>
      <w:proofErr w:type="spell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Kuckelman</w:t>
      </w:r>
      <w:proofErr w:type="spell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JF. The learned intermediary doctrine and direct-to-consumer advertising of prescription drugs. (Accessed on Jun. 27, 2003, at http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:/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/www.thefederation. org/documents/pratt.htm)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ธีรพจน์ ฟักน้อย. พืชสมุนไพร. (สืบค้นข้อมูลวันที่ 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7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ธันวาคม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2548,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ที่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http://www.med.tu.ac.th/Department/Herbs/main.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 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html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)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หมายเหตุ</w:t>
      </w: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</w:rPr>
        <w:t>: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 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หากมีชื่อผู้นิพนธ์มากกว่า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6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ท่าน ให้แสดงเพียง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3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ชื่อแรก แล้วตามด้วย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“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และคณะ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”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 xml:space="preserve">หรือ 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“et al”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กิตติกรรมประกาศ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กิตติกรรมประกาศ (</w:t>
      </w:r>
      <w:proofErr w:type="gramStart"/>
      <w:r w:rsidRPr="00E75F9A">
        <w:rPr>
          <w:rFonts w:ascii="Georgia" w:eastAsia="Times New Roman" w:hAnsi="Georgia" w:cs="Tahoma"/>
          <w:color w:val="333333"/>
          <w:sz w:val="24"/>
          <w:szCs w:val="24"/>
        </w:rPr>
        <w:t>acknowledgements</w:t>
      </w:r>
      <w:proofErr w:type="gramEnd"/>
      <w:r w:rsidRPr="00E75F9A">
        <w:rPr>
          <w:rFonts w:ascii="Georgia" w:eastAsia="Times New Roman" w:hAnsi="Georgia" w:cs="Tahoma"/>
          <w:color w:val="333333"/>
          <w:sz w:val="24"/>
          <w:szCs w:val="24"/>
        </w:rPr>
        <w:t xml:space="preserve">) 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เพื่อกล่าวขอบคุณบุคคล หน่วยงาน สถาบัน ที่สนับสนุนการวิจัย ควรอยู่ในหน้าสุดท้ายของเนื้อความ ควรระบุแหล่งทุนที่สนับสนุนงานวิจัยด้วย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ลิขสิทธิ์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ต้นฉบับที่ได้รับการตีพิมพ์ในวารสารนี้ถือเป็นสิทธิ์ของ</w:t>
      </w:r>
      <w:r w:rsidRPr="00E75F9A">
        <w:rPr>
          <w:rFonts w:ascii="Georgia" w:eastAsia="Times New Roman" w:hAnsi="Georgia" w:cs="Tahoma"/>
          <w:color w:val="333333"/>
          <w:sz w:val="24"/>
          <w:szCs w:val="24"/>
        </w:rPr>
        <w:t> </w:t>
      </w:r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  <w:cs/>
        </w:rPr>
        <w:t>ไทยเภสัชศาสตร์และวิทยาการสุขภาพ</w:t>
      </w:r>
      <w:r w:rsidRPr="00E75F9A">
        <w:rPr>
          <w:rFonts w:ascii="Georgia" w:eastAsia="Times New Roman" w:hAnsi="Georgia" w:cs="Tahoma"/>
          <w:i/>
          <w:iCs/>
          <w:color w:val="333333"/>
          <w:sz w:val="24"/>
          <w:szCs w:val="24"/>
        </w:rPr>
        <w:t> </w:t>
      </w: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การนำข้อความใด ๆ ซึ่งเป็นส่วนหนึ่งหรือทั้งหมดของต้นฉบับไปตีพิมพ์ใหม่จะต้องได้รับอนุญาตจากเจ้าของต้นฉบับและวารสารก่อน</w:t>
      </w:r>
    </w:p>
    <w:p w:rsidR="00E75F9A" w:rsidRPr="00E75F9A" w:rsidRDefault="00E75F9A" w:rsidP="00E75F9A">
      <w:pPr>
        <w:shd w:val="clear" w:color="auto" w:fill="FFFFFF"/>
        <w:spacing w:after="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b/>
          <w:bCs/>
          <w:color w:val="333333"/>
          <w:sz w:val="24"/>
          <w:szCs w:val="24"/>
          <w:cs/>
        </w:rPr>
        <w:t>ความรับผิดชอบ</w:t>
      </w:r>
    </w:p>
    <w:p w:rsidR="00E75F9A" w:rsidRPr="00E75F9A" w:rsidRDefault="00E75F9A" w:rsidP="00E75F9A">
      <w:pPr>
        <w:shd w:val="clear" w:color="auto" w:fill="FFFFFF"/>
        <w:spacing w:after="360" w:line="360" w:lineRule="atLeast"/>
        <w:textAlignment w:val="baseline"/>
        <w:rPr>
          <w:rFonts w:ascii="Georgia" w:eastAsia="Times New Roman" w:hAnsi="Georgia" w:cs="Tahoma"/>
          <w:color w:val="333333"/>
          <w:sz w:val="24"/>
          <w:szCs w:val="24"/>
        </w:rPr>
      </w:pPr>
      <w:r w:rsidRPr="00E75F9A">
        <w:rPr>
          <w:rFonts w:ascii="Georgia" w:eastAsia="Times New Roman" w:hAnsi="Georgia" w:cs="Tahoma"/>
          <w:color w:val="333333"/>
          <w:sz w:val="24"/>
          <w:szCs w:val="24"/>
          <w:cs/>
        </w:rPr>
        <w:t>ผลการวิจัยและความคิดเห็นที่ปรากฏในบทความเป็นความรับผิดชอบของผู้นิพนธ์ ทั้งนี้ไม่รวมความผิดพลาดอันเกิดจากเทคนิคการพิมพ์</w:t>
      </w:r>
    </w:p>
    <w:p w:rsidR="002E00B9" w:rsidRDefault="002E00B9" w:rsidP="00E75F9A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hint="cs"/>
        </w:rPr>
      </w:pPr>
    </w:p>
    <w:sectPr w:rsidR="002E00B9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  <w:rsid w:val="008F145F"/>
    <w:rsid w:val="00E75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2</cp:revision>
  <dcterms:created xsi:type="dcterms:W3CDTF">2012-10-08T04:20:00Z</dcterms:created>
  <dcterms:modified xsi:type="dcterms:W3CDTF">2012-10-08T04:20:00Z</dcterms:modified>
</cp:coreProperties>
</file>