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F81416">
      <w:pPr>
        <w:spacing w:after="120"/>
        <w:rPr>
          <w:rFonts w:ascii="Arial Black" w:hAnsi="Arial Black" w:cs="Times New Roman"/>
          <w:b/>
          <w:bCs/>
          <w:color w:val="000000"/>
        </w:rPr>
      </w:pPr>
      <w:r>
        <w:rPr>
          <w:rFonts w:ascii="Arial Black" w:hAnsi="Arial Black" w:cs="Times New Roman"/>
          <w:b/>
          <w:bCs/>
        </w:rPr>
        <w:drawing>
          <wp:inline distT="0" distB="0" distL="0" distR="0">
            <wp:extent cx="861060" cy="885190"/>
            <wp:effectExtent l="0" t="0" r="0" b="0"/>
            <wp:docPr id="6175222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52221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3435" cy="9081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 Black" w:hAnsi="Arial Black" w:cs="Times New Roman"/>
          <w:b/>
          <w:bCs/>
        </w:rPr>
        <w:t>The 22</w:t>
      </w:r>
      <w:r>
        <w:rPr>
          <w:rFonts w:ascii="Arial Black" w:hAnsi="Arial Black" w:cs="Times New Roman"/>
          <w:b/>
          <w:bCs/>
          <w:vertAlign w:val="superscript"/>
        </w:rPr>
        <w:t>nd</w:t>
      </w:r>
      <w:r>
        <w:rPr>
          <w:rFonts w:ascii="Arial Black" w:hAnsi="Arial Black" w:cs="Times New Roman"/>
          <w:b/>
          <w:bCs/>
        </w:rPr>
        <w:t xml:space="preserve"> International Postgraduate Research Colloquium</w:t>
      </w:r>
    </w:p>
    <w:p w14:paraId="0F278675">
      <w:pPr>
        <w:shd w:val="clear" w:color="auto" w:fill="D0CECE" w:themeFill="background2" w:themeFillShade="E6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Template_ Abstract IPRC 2025</w:t>
      </w:r>
    </w:p>
    <w:p w14:paraId="7A5DF0B8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6990145D">
      <w:pPr>
        <w:spacing w:line="480" w:lineRule="auto"/>
        <w:rPr>
          <w:rFonts w:ascii="Times New Roman" w:hAnsi="Times New Roman" w:cs="Times New Roman"/>
          <w:color w:val="0070C0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8"/>
          <w:szCs w:val="28"/>
          <w:lang w:val="en-US"/>
        </w:rPr>
        <w:t xml:space="preserve">Cultural Adaptation and the Cognitive Mediation Mechanism in Vocational College Students’ Acceptance of Generative Artificial Intelligence </w:t>
      </w:r>
    </w:p>
    <w:p w14:paraId="576A180A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1C2912D3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ABSTRACT</w:t>
      </w:r>
    </w:p>
    <w:p w14:paraId="6EC3DE4C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lang w:val="en-US"/>
          <w14:textFill>
            <w14:solidFill>
              <w14:schemeClr w14:val="tx1"/>
            </w14:solidFill>
          </w14:textFill>
        </w:rPr>
        <w:t xml:space="preserve">Low adoption rates of generative AI among vocational college students pose challenges to equitable digital education and student well-being. This study 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examine</w:t>
      </w:r>
      <w:r>
        <w:rPr>
          <w:rFonts w:hint="eastAsia" w:ascii="Times New Roman" w:hAnsi="Times New Roman" w:cs="Times New Roman"/>
          <w:color w:val="000000" w:themeColor="text1"/>
          <w:lang w:val="en-US"/>
          <w14:textFill>
            <w14:solidFill>
              <w14:schemeClr w14:val="tx1"/>
            </w14:solidFill>
          </w14:textFill>
        </w:rPr>
        <w:t>s whether cultural adaptation—specifically power distance and collectivism—influences students’ acceptance of generative AI through perceived ease of use and perceived usefulness.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By i</w:t>
      </w:r>
      <w:r>
        <w:rPr>
          <w:rFonts w:ascii="Times New Roman" w:hAnsi="Times New Roman" w:cs="Times New Roman"/>
          <w:color w:val="000000" w:themeColor="text1"/>
          <w:lang w:val="en-US"/>
          <w14:textFill>
            <w14:solidFill>
              <w14:schemeClr w14:val="tx1"/>
            </w14:solidFill>
          </w14:textFill>
        </w:rPr>
        <w:t>ntegrat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ing</w:t>
      </w:r>
      <w:r>
        <w:rPr>
          <w:rFonts w:ascii="Times New Roman" w:hAnsi="Times New Roman" w:cs="Times New Roman"/>
          <w:color w:val="000000" w:themeColor="text1"/>
          <w:lang w:val="en-US"/>
          <w14:textFill>
            <w14:solidFill>
              <w14:schemeClr w14:val="tx1"/>
            </w14:solidFill>
          </w14:textFill>
        </w:rPr>
        <w:t xml:space="preserve"> Hofstede’s cultural dimensions theory with the Technology Acceptance Model (TAM),  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a</w:t>
      </w:r>
      <w:r>
        <w:rPr>
          <w:rFonts w:ascii="Times New Roman" w:hAnsi="Times New Roman" w:cs="Times New Roman"/>
          <w:color w:val="000000" w:themeColor="text1"/>
          <w:lang w:val="en-US"/>
          <w14:textFill>
            <w14:solidFill>
              <w14:schemeClr w14:val="tx1"/>
            </w14:solidFill>
          </w14:textFill>
        </w:rPr>
        <w:t xml:space="preserve"> chained mediation model 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was</w:t>
      </w:r>
      <w:r>
        <w:rPr>
          <w:rFonts w:ascii="Times New Roman" w:hAnsi="Times New Roman" w:cs="Times New Roman"/>
          <w:color w:val="000000" w:themeColor="text1"/>
          <w:lang w:val="en-US"/>
          <w14:textFill>
            <w14:solidFill>
              <w14:schemeClr w14:val="tx1"/>
            </w14:solidFill>
          </w14:textFill>
        </w:rPr>
        <w:t xml:space="preserve"> constructed to explore the 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culture-cognition-behavior </w:t>
      </w:r>
      <w:r>
        <w:rPr>
          <w:rFonts w:ascii="Times New Roman" w:hAnsi="Times New Roman" w:cs="Times New Roman"/>
          <w:color w:val="000000" w:themeColor="text1"/>
          <w:lang w:val="en-US"/>
          <w14:textFill>
            <w14:solidFill>
              <w14:schemeClr w14:val="tx1"/>
            </w14:solidFill>
          </w14:textFill>
        </w:rPr>
        <w:t>pathway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ascii="Times New Roman" w:hAnsi="Times New Roman" w:cs="Times New Roman"/>
          <w:color w:val="000000" w:themeColor="text1"/>
          <w:lang w:val="en-U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:lang w:val="en-US"/>
          <w14:textFill>
            <w14:solidFill>
              <w14:schemeClr w14:val="tx1"/>
            </w14:solidFill>
          </w14:textFill>
        </w:rPr>
        <w:t>Survey data were collected from 610 vocational students in China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:lang w:val="en-US"/>
          <w14:textFill>
            <w14:solidFill>
              <w14:schemeClr w14:val="tx1"/>
            </w14:solidFill>
          </w14:textFill>
        </w:rPr>
        <w:t xml:space="preserve">across multiple programs. The measurement instruments demonstrated good reliability (Cronbach’s α 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:lang w:val="en-US"/>
          <w14:textFill>
            <w14:solidFill>
              <w14:schemeClr w14:val="tx1"/>
            </w14:solidFill>
          </w14:textFill>
        </w:rPr>
        <w:t xml:space="preserve">&gt; 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:lang w:val="en-US"/>
          <w14:textFill>
            <w14:solidFill>
              <w14:schemeClr w14:val="tx1"/>
            </w14:solidFill>
          </w14:textFill>
        </w:rPr>
        <w:t>0.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74</w:t>
      </w:r>
      <w:r>
        <w:rPr>
          <w:rFonts w:hint="eastAsia" w:ascii="Times New Roman" w:hAnsi="Times New Roman" w:cs="Times New Roman"/>
          <w:color w:val="000000" w:themeColor="text1"/>
          <w:lang w:val="en-US"/>
          <w14:textFill>
            <w14:solidFill>
              <w14:schemeClr w14:val="tx1"/>
            </w14:solidFill>
          </w14:textFill>
        </w:rPr>
        <w:t>). Structural equation modeling was used to test the hypotheses.Results show that:</w:t>
      </w:r>
      <w:r>
        <w:rPr>
          <w:rFonts w:ascii="Times New Roman" w:hAnsi="Times New Roman" w:cs="Times New Roman"/>
          <w:color w:val="000000" w:themeColor="text1"/>
          <w:lang w:val="en-US"/>
          <w14:textFill>
            <w14:solidFill>
              <w14:schemeClr w14:val="tx1"/>
            </w14:solidFill>
          </w14:textFill>
        </w:rPr>
        <w:t xml:space="preserve"> (1) power distance and collectivism significantly influence technology acceptance behavior through a chained mediation effect; (2) cognitive mechanisms exhibit an “ease-over-usefulness” tendency, indicating that perceived ease of use plays a more dominant role in shaping behavioral intentions; and (3) </w:t>
      </w:r>
      <w:r>
        <w:rPr>
          <w:rFonts w:hint="eastAsia" w:ascii="Times New Roman" w:hAnsi="Times New Roman" w:cs="Times New Roman"/>
          <w:color w:val="000000" w:themeColor="text1"/>
          <w:lang w:val="en-US"/>
          <w14:textFill>
            <w14:solidFill>
              <w14:schemeClr w14:val="tx1"/>
            </w14:solidFill>
          </w14:textFill>
        </w:rPr>
        <w:t>students high in power distance rely more on authority, while those high in collectivism are shaped by peer norms</w:t>
      </w:r>
      <w:r>
        <w:rPr>
          <w:rFonts w:ascii="Times New Roman" w:hAnsi="Times New Roman" w:cs="Times New Roman"/>
          <w:color w:val="000000" w:themeColor="text1"/>
          <w:lang w:val="en-US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eastAsia" w:ascii="Times New Roman" w:hAnsi="Times New Roman" w:cs="Times New Roman"/>
          <w:color w:val="000000" w:themeColor="text1"/>
          <w:lang w:val="en-US"/>
          <w14:textFill>
            <w14:solidFill>
              <w14:schemeClr w14:val="tx1"/>
            </w14:solidFill>
          </w14:textFill>
        </w:rPr>
        <w:t>This study extends TAM research by applying a cultural-cognitive mediation framework in vocational education, a context rarely examined through this lens</w:t>
      </w:r>
      <w:r>
        <w:rPr>
          <w:rFonts w:ascii="Times New Roman" w:hAnsi="Times New Roman" w:cs="Times New Roman"/>
          <w:color w:val="000000" w:themeColor="text1"/>
          <w:lang w:val="en-US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In p</w:t>
      </w:r>
      <w:r>
        <w:rPr>
          <w:rFonts w:hint="eastAsia" w:ascii="Times New Roman" w:hAnsi="Times New Roman" w:cs="Times New Roman"/>
          <w:color w:val="000000" w:themeColor="text1"/>
          <w:lang w:val="en-US"/>
          <w14:textFill>
            <w14:solidFill>
              <w14:schemeClr w14:val="tx1"/>
            </w14:solidFill>
          </w14:textFill>
        </w:rPr>
        <w:t>ractic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e</w:t>
      </w:r>
      <w:r>
        <w:rPr>
          <w:rFonts w:hint="eastAsia" w:ascii="Times New Roman" w:hAnsi="Times New Roman" w:cs="Times New Roman"/>
          <w:color w:val="000000" w:themeColor="text1"/>
          <w:lang w:val="en-US"/>
          <w14:textFill>
            <w14:solidFill>
              <w14:schemeClr w14:val="tx1"/>
            </w14:solidFill>
          </w14:textFill>
        </w:rPr>
        <w:t>, it suggests tailoring generative AI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:lang w:val="en-US"/>
          <w14:textFill>
            <w14:solidFill>
              <w14:schemeClr w14:val="tx1"/>
            </w14:solidFill>
          </w14:textFill>
        </w:rPr>
        <w:t>promotion strategies—such as peer-based training in collectivist settings—to enhance adoption and improve students’ digital engagement and well-being.</w:t>
      </w:r>
    </w:p>
    <w:p w14:paraId="6B340BE8">
      <w:pPr>
        <w:spacing w:line="480" w:lineRule="auto"/>
        <w:rPr>
          <w:rFonts w:ascii="Times New Roman" w:hAnsi="Times New Roman" w:cs="Times New Roman"/>
          <w:i/>
          <w:iCs/>
          <w:color w:val="0070C0"/>
        </w:rPr>
      </w:pPr>
      <w:r>
        <w:rPr>
          <w:rFonts w:ascii="Times New Roman" w:hAnsi="Times New Roman" w:cs="Times New Roman"/>
          <w:b/>
          <w:bCs/>
          <w:lang w:val="en-US"/>
        </w:rPr>
        <w:t>Keywords</w:t>
      </w:r>
      <w:r>
        <w:rPr>
          <w:rFonts w:ascii="Times New Roman" w:hAnsi="Times New Roman" w:cs="Times New Roman"/>
          <w:lang w:val="en-US"/>
        </w:rPr>
        <w:t>:</w:t>
      </w:r>
      <w:r>
        <w:rPr>
          <w:rFonts w:ascii="Times New Roman" w:hAnsi="Times New Roman" w:cs="Times New Roman"/>
          <w:i/>
          <w:iCs/>
          <w:lang w:val="en-US"/>
        </w:rPr>
        <w:t xml:space="preserve"> </w:t>
      </w:r>
      <w:r>
        <w:rPr>
          <w:rFonts w:hint="eastAsia" w:ascii="Times New Roman" w:hAnsi="Times New Roman" w:cs="Times New Roman"/>
          <w:i/>
          <w:iCs/>
          <w:lang w:val="en-US" w:eastAsia="zh-CN"/>
        </w:rPr>
        <w:t>G</w:t>
      </w:r>
      <w:r>
        <w:rPr>
          <w:rFonts w:hint="eastAsia" w:ascii="Times New Roman" w:hAnsi="Times New Roman" w:cs="Times New Roman"/>
          <w:i/>
          <w:iCs/>
          <w:lang w:val="en-US"/>
        </w:rPr>
        <w:t xml:space="preserve">enerative </w:t>
      </w:r>
      <w:r>
        <w:rPr>
          <w:rFonts w:hint="eastAsia" w:ascii="Times New Roman" w:hAnsi="Times New Roman" w:cs="Times New Roman"/>
          <w:i/>
          <w:iCs/>
          <w:lang w:val="en-US" w:eastAsia="zh-CN"/>
        </w:rPr>
        <w:t>A</w:t>
      </w:r>
      <w:r>
        <w:rPr>
          <w:rFonts w:hint="eastAsia" w:ascii="Times New Roman" w:hAnsi="Times New Roman" w:cs="Times New Roman"/>
          <w:i/>
          <w:iCs/>
          <w:lang w:val="en-US"/>
        </w:rPr>
        <w:t xml:space="preserve">rtificial </w:t>
      </w:r>
      <w:r>
        <w:rPr>
          <w:rFonts w:hint="eastAsia" w:ascii="Times New Roman" w:hAnsi="Times New Roman" w:cs="Times New Roman"/>
          <w:i/>
          <w:iCs/>
          <w:lang w:val="en-US" w:eastAsia="zh-CN"/>
        </w:rPr>
        <w:t>I</w:t>
      </w:r>
      <w:r>
        <w:rPr>
          <w:rFonts w:hint="eastAsia" w:ascii="Times New Roman" w:hAnsi="Times New Roman" w:cs="Times New Roman"/>
          <w:i/>
          <w:iCs/>
          <w:lang w:val="en-US"/>
        </w:rPr>
        <w:t xml:space="preserve">ntelligence, </w:t>
      </w:r>
      <w:r>
        <w:rPr>
          <w:rFonts w:hint="eastAsia" w:ascii="Times New Roman" w:hAnsi="Times New Roman" w:cs="Times New Roman"/>
          <w:i/>
          <w:iCs/>
          <w:lang w:val="en-US" w:eastAsia="zh-CN"/>
        </w:rPr>
        <w:t>T</w:t>
      </w:r>
      <w:r>
        <w:rPr>
          <w:rFonts w:hint="eastAsia" w:ascii="Times New Roman" w:hAnsi="Times New Roman" w:cs="Times New Roman"/>
          <w:i/>
          <w:iCs/>
          <w:lang w:val="en-US"/>
        </w:rPr>
        <w:t xml:space="preserve">echnology </w:t>
      </w:r>
      <w:r>
        <w:rPr>
          <w:rFonts w:hint="eastAsia" w:ascii="Times New Roman" w:hAnsi="Times New Roman" w:cs="Times New Roman"/>
          <w:i/>
          <w:iCs/>
          <w:lang w:val="en-US" w:eastAsia="zh-CN"/>
        </w:rPr>
        <w:t>A</w:t>
      </w:r>
      <w:r>
        <w:rPr>
          <w:rFonts w:hint="eastAsia" w:ascii="Times New Roman" w:hAnsi="Times New Roman" w:cs="Times New Roman"/>
          <w:i/>
          <w:iCs/>
          <w:lang w:val="en-US"/>
        </w:rPr>
        <w:t xml:space="preserve">cceptance </w:t>
      </w:r>
      <w:r>
        <w:rPr>
          <w:rFonts w:hint="eastAsia" w:ascii="Times New Roman" w:hAnsi="Times New Roman" w:cs="Times New Roman"/>
          <w:i/>
          <w:iCs/>
          <w:lang w:val="en-US" w:eastAsia="zh-CN"/>
        </w:rPr>
        <w:t>M</w:t>
      </w:r>
      <w:r>
        <w:rPr>
          <w:rFonts w:hint="eastAsia" w:ascii="Times New Roman" w:hAnsi="Times New Roman" w:cs="Times New Roman"/>
          <w:i/>
          <w:iCs/>
          <w:lang w:val="en-US"/>
        </w:rPr>
        <w:t xml:space="preserve">odel, </w:t>
      </w:r>
      <w:r>
        <w:rPr>
          <w:rFonts w:hint="eastAsia" w:ascii="Times New Roman" w:hAnsi="Times New Roman" w:cs="Times New Roman"/>
          <w:i/>
          <w:iCs/>
          <w:lang w:val="en-US" w:eastAsia="zh-CN"/>
        </w:rPr>
        <w:t>C</w:t>
      </w:r>
      <w:r>
        <w:rPr>
          <w:rFonts w:hint="eastAsia" w:ascii="Times New Roman" w:hAnsi="Times New Roman" w:cs="Times New Roman"/>
          <w:i/>
          <w:iCs/>
          <w:lang w:val="en-US"/>
        </w:rPr>
        <w:t xml:space="preserve">ultural </w:t>
      </w:r>
      <w:r>
        <w:rPr>
          <w:rFonts w:hint="eastAsia" w:ascii="Times New Roman" w:hAnsi="Times New Roman" w:cs="Times New Roman"/>
          <w:i/>
          <w:iCs/>
          <w:lang w:val="en-US" w:eastAsia="zh-CN"/>
        </w:rPr>
        <w:t>A</w:t>
      </w:r>
      <w:r>
        <w:rPr>
          <w:rFonts w:hint="eastAsia" w:ascii="Times New Roman" w:hAnsi="Times New Roman" w:cs="Times New Roman"/>
          <w:i/>
          <w:iCs/>
          <w:lang w:val="en-US"/>
        </w:rPr>
        <w:t xml:space="preserve">daptation, </w:t>
      </w:r>
      <w:r>
        <w:rPr>
          <w:rFonts w:hint="eastAsia" w:ascii="Times New Roman" w:hAnsi="Times New Roman" w:cs="Times New Roman"/>
          <w:i/>
          <w:iCs/>
          <w:lang w:val="en-US" w:eastAsia="zh-CN"/>
        </w:rPr>
        <w:t>V</w:t>
      </w:r>
      <w:r>
        <w:rPr>
          <w:rFonts w:hint="eastAsia" w:ascii="Times New Roman" w:hAnsi="Times New Roman" w:cs="Times New Roman"/>
          <w:i/>
          <w:iCs/>
          <w:lang w:val="en-US"/>
        </w:rPr>
        <w:t xml:space="preserve">ocational </w:t>
      </w:r>
      <w:r>
        <w:rPr>
          <w:rFonts w:hint="eastAsia" w:ascii="Times New Roman" w:hAnsi="Times New Roman" w:cs="Times New Roman"/>
          <w:i/>
          <w:iCs/>
          <w:lang w:val="en-US" w:eastAsia="zh-CN"/>
        </w:rPr>
        <w:t>C</w:t>
      </w:r>
      <w:r>
        <w:rPr>
          <w:rFonts w:hint="eastAsia" w:ascii="Times New Roman" w:hAnsi="Times New Roman" w:cs="Times New Roman"/>
          <w:i/>
          <w:iCs/>
          <w:lang w:val="en-US"/>
        </w:rPr>
        <w:t xml:space="preserve">ollege </w:t>
      </w:r>
      <w:r>
        <w:rPr>
          <w:rFonts w:hint="eastAsia" w:ascii="Times New Roman" w:hAnsi="Times New Roman" w:cs="Times New Roman"/>
          <w:i/>
          <w:iCs/>
          <w:lang w:val="en-US" w:eastAsia="zh-CN"/>
        </w:rPr>
        <w:t>S</w:t>
      </w:r>
      <w:r>
        <w:rPr>
          <w:rFonts w:hint="eastAsia" w:ascii="Times New Roman" w:hAnsi="Times New Roman" w:cs="Times New Roman"/>
          <w:i/>
          <w:iCs/>
          <w:lang w:val="en-US"/>
        </w:rPr>
        <w:t xml:space="preserve">tudents, </w:t>
      </w:r>
      <w:r>
        <w:rPr>
          <w:rFonts w:hint="eastAsia" w:ascii="Times New Roman" w:hAnsi="Times New Roman" w:cs="Times New Roman"/>
          <w:i/>
          <w:iCs/>
          <w:lang w:val="en-US" w:eastAsia="zh-CN"/>
        </w:rPr>
        <w:t>C</w:t>
      </w:r>
      <w:r>
        <w:rPr>
          <w:rFonts w:hint="eastAsia" w:ascii="Times New Roman" w:hAnsi="Times New Roman" w:cs="Times New Roman"/>
          <w:i/>
          <w:iCs/>
          <w:lang w:val="en-US"/>
        </w:rPr>
        <w:t xml:space="preserve">ognitive </w:t>
      </w:r>
      <w:r>
        <w:rPr>
          <w:rFonts w:hint="eastAsia" w:ascii="Times New Roman" w:hAnsi="Times New Roman" w:cs="Times New Roman"/>
          <w:i/>
          <w:iCs/>
          <w:lang w:val="en-US" w:eastAsia="zh-CN"/>
        </w:rPr>
        <w:t>M</w:t>
      </w:r>
      <w:r>
        <w:rPr>
          <w:rFonts w:hint="eastAsia" w:ascii="Times New Roman" w:hAnsi="Times New Roman" w:cs="Times New Roman"/>
          <w:i/>
          <w:iCs/>
          <w:lang w:val="en-US"/>
        </w:rPr>
        <w:t>echanisms</w:t>
      </w:r>
    </w:p>
    <w:p w14:paraId="46B9BEB0">
      <w:pPr>
        <w:spacing w:line="480" w:lineRule="auto"/>
        <w:rPr>
          <w:rFonts w:ascii="Times New Roman" w:hAnsi="Times New Roman" w:cs="Times New Roman"/>
          <w:color w:val="0070C0"/>
        </w:rPr>
      </w:pPr>
    </w:p>
    <w:p w14:paraId="5ED54612">
      <w:pPr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36EDFC1A">
      <w:pPr>
        <w:rPr>
          <w:rFonts w:ascii="Times New Roman" w:hAnsi="Times New Roman" w:cs="Times New Roman"/>
          <w:b/>
          <w:bCs/>
          <w:lang w:val="en-US"/>
        </w:rPr>
      </w:pPr>
      <w:bookmarkStart w:id="0" w:name="_GoBack"/>
      <w:bookmarkEnd w:id="0"/>
    </w:p>
    <w:sectPr>
      <w:headerReference r:id="rId3" w:type="default"/>
      <w:pgSz w:w="12240" w:h="15840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ordia New">
    <w:altName w:val="Microsoft Sans Serif"/>
    <w:panose1 w:val="020B0304020202020204"/>
    <w:charset w:val="DE"/>
    <w:family w:val="swiss"/>
    <w:pitch w:val="default"/>
    <w:sig w:usb0="00000000" w:usb1="00000000" w:usb2="00000000" w:usb3="00000000" w:csb0="00010001" w:csb1="00000000"/>
  </w:font>
  <w:font w:name="Cordia New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  <w:font w:name="Microsoft Sans Serif">
    <w:panose1 w:val="020B0604020202020204"/>
    <w:charset w:val="00"/>
    <w:family w:val="auto"/>
    <w:pitch w:val="default"/>
    <w:sig w:usb0="E5002EFF" w:usb1="C000605B" w:usb2="00000029" w:usb3="00000000" w:csb0="200101FF" w:csb1="2028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D65830">
    <w:pPr>
      <w:pStyle w:val="3"/>
    </w:pPr>
    <w:r>
      <w:t>IPRC2025-Abstract</w:t>
    </w:r>
  </w:p>
  <w:p w14:paraId="0C022200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documentProtection w:enforcement="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B59"/>
    <w:rsid w:val="00031C5B"/>
    <w:rsid w:val="000C5048"/>
    <w:rsid w:val="00107374"/>
    <w:rsid w:val="001135D9"/>
    <w:rsid w:val="001E0D49"/>
    <w:rsid w:val="00276E0F"/>
    <w:rsid w:val="002F7849"/>
    <w:rsid w:val="003D27A3"/>
    <w:rsid w:val="004F0FFD"/>
    <w:rsid w:val="00515B96"/>
    <w:rsid w:val="006130E0"/>
    <w:rsid w:val="006F3219"/>
    <w:rsid w:val="00723555"/>
    <w:rsid w:val="007679AC"/>
    <w:rsid w:val="0086557A"/>
    <w:rsid w:val="00882298"/>
    <w:rsid w:val="00886910"/>
    <w:rsid w:val="0089682D"/>
    <w:rsid w:val="00972B4E"/>
    <w:rsid w:val="009B3880"/>
    <w:rsid w:val="009B5A4C"/>
    <w:rsid w:val="009D6B59"/>
    <w:rsid w:val="009E4B10"/>
    <w:rsid w:val="009F1EA4"/>
    <w:rsid w:val="009F2258"/>
    <w:rsid w:val="00AE786A"/>
    <w:rsid w:val="00B56603"/>
    <w:rsid w:val="00C57B41"/>
    <w:rsid w:val="00C731AB"/>
    <w:rsid w:val="00CC6995"/>
    <w:rsid w:val="00D23EBE"/>
    <w:rsid w:val="00DF2911"/>
    <w:rsid w:val="00E3760D"/>
    <w:rsid w:val="00E96BBF"/>
    <w:rsid w:val="0C3F54B6"/>
    <w:rsid w:val="68AA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HAnsi" w:cstheme="minorBidi"/>
      <w:sz w:val="24"/>
      <w:szCs w:val="24"/>
      <w:lang w:val="zh-CN" w:eastAsia="en-US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680"/>
        <w:tab w:val="right" w:pos="9360"/>
      </w:tabs>
    </w:pPr>
  </w:style>
  <w:style w:type="paragraph" w:styleId="3">
    <w:name w:val="header"/>
    <w:basedOn w:val="1"/>
    <w:link w:val="8"/>
    <w:unhideWhenUsed/>
    <w:qFormat/>
    <w:uiPriority w:val="99"/>
    <w:pPr>
      <w:tabs>
        <w:tab w:val="center" w:pos="4680"/>
        <w:tab w:val="right" w:pos="9360"/>
      </w:tabs>
    </w:pPr>
  </w:style>
  <w:style w:type="paragraph" w:styleId="6">
    <w:name w:val="List Paragraph"/>
    <w:basedOn w:val="1"/>
    <w:qFormat/>
    <w:uiPriority w:val="34"/>
    <w:pPr>
      <w:ind w:left="720"/>
      <w:contextualSpacing/>
    </w:pPr>
  </w:style>
  <w:style w:type="paragraph" w:customStyle="1" w:styleId="7">
    <w:name w:val="Revision1"/>
    <w:hidden/>
    <w:semiHidden/>
    <w:qFormat/>
    <w:uiPriority w:val="99"/>
    <w:rPr>
      <w:rFonts w:asciiTheme="minorHAnsi" w:hAnsiTheme="minorHAnsi" w:eastAsiaTheme="minorHAnsi" w:cstheme="minorBidi"/>
      <w:sz w:val="24"/>
      <w:szCs w:val="24"/>
      <w:lang w:val="zh-CN" w:eastAsia="en-US" w:bidi="ar-SA"/>
    </w:rPr>
  </w:style>
  <w:style w:type="character" w:customStyle="1" w:styleId="8">
    <w:name w:val="Header Char"/>
    <w:basedOn w:val="5"/>
    <w:link w:val="3"/>
    <w:qFormat/>
    <w:uiPriority w:val="99"/>
  </w:style>
  <w:style w:type="character" w:customStyle="1" w:styleId="9">
    <w:name w:val="Footer Char"/>
    <w:basedOn w:val="5"/>
    <w:link w:val="2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215</Words>
  <Characters>1499</Characters>
  <Lines>12</Lines>
  <Paragraphs>3</Paragraphs>
  <TotalTime>12</TotalTime>
  <ScaleCrop>false</ScaleCrop>
  <LinksUpToDate>false</LinksUpToDate>
  <CharactersWithSpaces>1708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2025-07-21T04:05:00Z</dcterms:created>
  <dc:creator>reviewer</dc:creator>
  <cp:lastModifiedBy>王壮壮</cp:lastModifiedBy>
  <dcterms:modified xsi:type="dcterms:W3CDTF">2025-07-25T03:48:57Z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facd39c24091cc2f5cd6a7d1d7ce284dd346685f4a75af3a97dfd874af762fb9</vt:lpwstr>
  </property>
  <property fmtid="{D5CDD505-2E9C-101B-9397-08002B2CF9AE}" pid="3" name="KSOTemplateDocerSaveRecord">
    <vt:lpwstr>eyJoZGlkIjoiMGNiZWU3NWJlY2VkYzhjYTdjYTE0OTFlNzMyY2M5MTAiLCJ1c2VySWQiOiIzMDMxNTAyMTkifQ==</vt:lpwstr>
  </property>
  <property fmtid="{D5CDD505-2E9C-101B-9397-08002B2CF9AE}" pid="4" name="KSOProductBuildVer">
    <vt:lpwstr>2052-12.1.0.21541</vt:lpwstr>
  </property>
  <property fmtid="{D5CDD505-2E9C-101B-9397-08002B2CF9AE}" pid="5" name="ICV">
    <vt:lpwstr>11A5BE39662B47F6BB1E715A40DEA22F_13</vt:lpwstr>
  </property>
</Properties>
</file>