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752A8A7A">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287DFE0D"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Abstract IPRC 2025</w:t>
      </w:r>
    </w:p>
    <w:p w14:paraId="0AF7BE76" w14:textId="77777777" w:rsidR="00CC6995" w:rsidRDefault="00CC6995" w:rsidP="001135D9">
      <w:pPr>
        <w:spacing w:line="480" w:lineRule="auto"/>
        <w:rPr>
          <w:rFonts w:ascii="Times New Roman" w:hAnsi="Times New Roman" w:cs="Times New Roman"/>
          <w:b/>
          <w:bCs/>
          <w:sz w:val="28"/>
          <w:szCs w:val="28"/>
          <w:lang w:val="en-US"/>
        </w:rPr>
      </w:pPr>
    </w:p>
    <w:p w14:paraId="2C996AFC" w14:textId="76DB82AF" w:rsidR="00B42F9A" w:rsidRPr="00EC6C4D" w:rsidRDefault="00C60290" w:rsidP="005F65E5">
      <w:pPr>
        <w:jc w:val="center"/>
        <w:rPr>
          <w:rFonts w:ascii="Times New Roman" w:hAnsi="Times New Roman" w:cs="Times New Roman"/>
          <w:b/>
          <w:bCs/>
          <w:sz w:val="28"/>
          <w:szCs w:val="28"/>
        </w:rPr>
      </w:pPr>
      <w:r>
        <w:rPr>
          <w:rFonts w:ascii="Times New Roman" w:hAnsi="Times New Roman" w:cs="Times New Roman"/>
          <w:b/>
          <w:bCs/>
          <w:sz w:val="28"/>
          <w:szCs w:val="28"/>
        </w:rPr>
        <w:t xml:space="preserve">Testing the Broaden-and-Build Theory: </w:t>
      </w:r>
      <w:r w:rsidR="0094741D">
        <w:rPr>
          <w:rFonts w:ascii="Times New Roman" w:hAnsi="Times New Roman" w:cs="Times New Roman"/>
          <w:b/>
          <w:bCs/>
          <w:sz w:val="28"/>
          <w:szCs w:val="28"/>
        </w:rPr>
        <w:t xml:space="preserve">Hope </w:t>
      </w:r>
      <w:r w:rsidR="00BE1172">
        <w:rPr>
          <w:rFonts w:ascii="Times New Roman" w:hAnsi="Times New Roman" w:cs="Times New Roman"/>
          <w:b/>
          <w:bCs/>
          <w:sz w:val="28"/>
          <w:szCs w:val="28"/>
        </w:rPr>
        <w:t>as a Mediator</w:t>
      </w:r>
      <w:r w:rsidR="0094741D">
        <w:rPr>
          <w:rFonts w:ascii="Times New Roman" w:hAnsi="Times New Roman" w:cs="Times New Roman"/>
          <w:b/>
          <w:bCs/>
          <w:sz w:val="28"/>
          <w:szCs w:val="28"/>
        </w:rPr>
        <w:t xml:space="preserve"> Between Positive Emotion and Resilience among Filipino Emerging Adults</w:t>
      </w:r>
    </w:p>
    <w:p w14:paraId="1EB40A58" w14:textId="77777777" w:rsidR="009A1D27" w:rsidRPr="00B42F9A" w:rsidRDefault="009A1D27" w:rsidP="005F65E5">
      <w:pPr>
        <w:jc w:val="center"/>
        <w:rPr>
          <w:rFonts w:ascii="Times New Roman" w:hAnsi="Times New Roman" w:cs="Times New Roman"/>
          <w:b/>
          <w:bCs/>
        </w:rPr>
      </w:pPr>
    </w:p>
    <w:p w14:paraId="52FA45FD" w14:textId="4BC86A55" w:rsidR="00A13C02" w:rsidRPr="00BF0B92" w:rsidRDefault="00B42F9A" w:rsidP="005F65E5">
      <w:pPr>
        <w:spacing w:line="360" w:lineRule="auto"/>
        <w:jc w:val="center"/>
        <w:rPr>
          <w:rFonts w:ascii="Times New Roman" w:hAnsi="Times New Roman" w:cs="Times New Roman"/>
        </w:rPr>
      </w:pPr>
      <w:r>
        <w:rPr>
          <w:rFonts w:ascii="Times New Roman" w:hAnsi="Times New Roman" w:cs="Times New Roman"/>
          <w:lang w:val="en-US" w:eastAsia="zh-CN"/>
        </w:rPr>
        <w:t>Mylene G. Sacro</w:t>
      </w:r>
      <w:r w:rsidR="00CC6995" w:rsidRPr="009D6B59">
        <w:rPr>
          <w:rFonts w:ascii="Times New Roman" w:hAnsi="Times New Roman" w:cs="Times New Roman"/>
          <w:lang w:val="en-US"/>
        </w:rPr>
        <w:t xml:space="preserve"> </w:t>
      </w:r>
      <w:r w:rsidR="00CC6995" w:rsidRPr="00CC6995">
        <w:rPr>
          <w:rFonts w:ascii="Times New Roman" w:hAnsi="Times New Roman" w:cs="Times New Roman"/>
          <w:bCs/>
          <w:vertAlign w:val="superscript"/>
        </w:rPr>
        <w:t>1</w:t>
      </w:r>
      <w:r w:rsidR="00FE27D1">
        <w:rPr>
          <w:rFonts w:ascii="Times New Roman" w:hAnsi="Times New Roman" w:cs="Times New Roman"/>
          <w:bCs/>
          <w:vertAlign w:val="superscript"/>
        </w:rPr>
        <w:t>*</w:t>
      </w:r>
      <w:r>
        <w:rPr>
          <w:rFonts w:ascii="Times New Roman" w:hAnsi="Times New Roman" w:cs="Times New Roman"/>
          <w:bCs/>
          <w:vertAlign w:val="superscript"/>
        </w:rPr>
        <w:t>, 2</w:t>
      </w:r>
    </w:p>
    <w:p w14:paraId="2A9D6EBD" w14:textId="671FE72B" w:rsidR="00BF0B92" w:rsidRDefault="00CC6995" w:rsidP="005F65E5">
      <w:pPr>
        <w:rPr>
          <w:rFonts w:ascii="Times New Roman" w:hAnsi="Times New Roman" w:cs="Times New Roman"/>
        </w:rPr>
      </w:pPr>
      <w:r w:rsidRPr="008A3387">
        <w:rPr>
          <w:rFonts w:ascii="Times New Roman" w:hAnsi="Times New Roman" w:cs="Times New Roman"/>
          <w:bCs/>
          <w:vertAlign w:val="superscript"/>
        </w:rPr>
        <w:t>1</w:t>
      </w:r>
      <w:r w:rsidR="001135D9" w:rsidRPr="008A3387">
        <w:rPr>
          <w:rFonts w:ascii="Times New Roman" w:hAnsi="Times New Roman" w:cs="Times New Roman"/>
          <w:lang w:val="en-US"/>
        </w:rPr>
        <w:t xml:space="preserve"> </w:t>
      </w:r>
      <w:r w:rsidR="00C731AB" w:rsidRPr="008A3387">
        <w:rPr>
          <w:rFonts w:ascii="Times New Roman" w:hAnsi="Times New Roman" w:cs="Times New Roman"/>
          <w:lang w:val="en-US"/>
        </w:rPr>
        <w:t xml:space="preserve">PhD student in </w:t>
      </w:r>
      <w:r w:rsidR="00B42F9A">
        <w:rPr>
          <w:rFonts w:ascii="Times New Roman" w:hAnsi="Times New Roman" w:cs="Times New Roman"/>
          <w:lang w:val="en-US"/>
        </w:rPr>
        <w:t>Developmental Psychology</w:t>
      </w:r>
      <w:r w:rsidR="00BF0B92">
        <w:rPr>
          <w:rFonts w:ascii="Times New Roman" w:hAnsi="Times New Roman" w:cs="Times New Roman"/>
          <w:lang w:val="en-US"/>
        </w:rPr>
        <w:t xml:space="preserve">, </w:t>
      </w:r>
      <w:r w:rsidR="00F7056D" w:rsidRPr="006A0F7C">
        <w:rPr>
          <w:rFonts w:ascii="Times New Roman" w:hAnsi="Times New Roman" w:cs="Times New Roman"/>
        </w:rPr>
        <w:t>Faculty of Human Ecology</w:t>
      </w:r>
      <w:r w:rsidR="00F7056D">
        <w:rPr>
          <w:rFonts w:ascii="Times New Roman" w:hAnsi="Times New Roman" w:cs="Times New Roman"/>
        </w:rPr>
        <w:t xml:space="preserve">, </w:t>
      </w:r>
      <w:proofErr w:type="spellStart"/>
      <w:r w:rsidR="00BF0B92" w:rsidRPr="00154B4D">
        <w:rPr>
          <w:rFonts w:ascii="Times New Roman" w:hAnsi="Times New Roman" w:cs="Times New Roman"/>
        </w:rPr>
        <w:t>Universiti</w:t>
      </w:r>
      <w:proofErr w:type="spellEnd"/>
      <w:r w:rsidR="00BF0B92" w:rsidRPr="00154B4D">
        <w:rPr>
          <w:rFonts w:ascii="Times New Roman" w:hAnsi="Times New Roman" w:cs="Times New Roman"/>
        </w:rPr>
        <w:t xml:space="preserve"> Putra Malaysia, 43400 Serdang,</w:t>
      </w:r>
      <w:r w:rsidR="00F7056D">
        <w:rPr>
          <w:rFonts w:ascii="Times New Roman" w:hAnsi="Times New Roman" w:cs="Times New Roman"/>
        </w:rPr>
        <w:t xml:space="preserve"> </w:t>
      </w:r>
      <w:r w:rsidR="00BF0B92" w:rsidRPr="00154B4D">
        <w:rPr>
          <w:rFonts w:ascii="Times New Roman" w:hAnsi="Times New Roman" w:cs="Times New Roman"/>
        </w:rPr>
        <w:t>Selangor, Malaysia</w:t>
      </w:r>
    </w:p>
    <w:p w14:paraId="21331AD3" w14:textId="02FCD4D0" w:rsidR="00107C49" w:rsidRDefault="00A13C02" w:rsidP="005F65E5">
      <w:pPr>
        <w:rPr>
          <w:rFonts w:ascii="Times New Roman" w:hAnsi="Times New Roman" w:cs="Times New Roman"/>
        </w:rPr>
      </w:pPr>
      <w:r w:rsidRPr="00A13C02">
        <w:rPr>
          <w:rFonts w:ascii="Times New Roman" w:hAnsi="Times New Roman" w:cs="Times New Roman"/>
          <w:vertAlign w:val="superscript"/>
          <w:lang w:val="en-US"/>
        </w:rPr>
        <w:t>2</w:t>
      </w:r>
      <w:r>
        <w:rPr>
          <w:rFonts w:ascii="Times New Roman" w:hAnsi="Times New Roman" w:cs="Times New Roman"/>
          <w:vertAlign w:val="superscript"/>
          <w:lang w:val="en-US"/>
        </w:rPr>
        <w:t xml:space="preserve"> </w:t>
      </w:r>
      <w:r w:rsidR="00B42F9A">
        <w:rPr>
          <w:rFonts w:ascii="Times New Roman" w:hAnsi="Times New Roman" w:cs="Times New Roman"/>
          <w:lang w:val="en-US"/>
        </w:rPr>
        <w:t>Faculty Member</w:t>
      </w:r>
      <w:r>
        <w:rPr>
          <w:rFonts w:ascii="Times New Roman" w:hAnsi="Times New Roman" w:cs="Times New Roman"/>
          <w:lang w:val="en-US"/>
        </w:rPr>
        <w:t xml:space="preserve">, </w:t>
      </w:r>
      <w:r w:rsidR="00CD72AA">
        <w:rPr>
          <w:rFonts w:ascii="Times New Roman" w:hAnsi="Times New Roman" w:cs="Times New Roman"/>
          <w:lang w:val="en-US"/>
        </w:rPr>
        <w:t xml:space="preserve">Department of Psychology, </w:t>
      </w:r>
      <w:r w:rsidR="00B42F9A">
        <w:rPr>
          <w:rFonts w:ascii="Times New Roman" w:hAnsi="Times New Roman" w:cs="Times New Roman"/>
        </w:rPr>
        <w:t>Central Luzon State University</w:t>
      </w:r>
      <w:r w:rsidR="00F7056D" w:rsidRPr="00154B4D">
        <w:rPr>
          <w:rFonts w:ascii="Times New Roman" w:hAnsi="Times New Roman" w:cs="Times New Roman"/>
        </w:rPr>
        <w:t xml:space="preserve">, </w:t>
      </w:r>
      <w:r w:rsidR="00B42F9A">
        <w:rPr>
          <w:rFonts w:ascii="Times New Roman" w:hAnsi="Times New Roman" w:cs="Times New Roman"/>
        </w:rPr>
        <w:t>Science City of Munoz</w:t>
      </w:r>
      <w:r w:rsidR="00F7056D" w:rsidRPr="00154B4D">
        <w:rPr>
          <w:rFonts w:ascii="Times New Roman" w:hAnsi="Times New Roman" w:cs="Times New Roman"/>
        </w:rPr>
        <w:t xml:space="preserve">, </w:t>
      </w:r>
      <w:r w:rsidR="00265F14">
        <w:rPr>
          <w:rFonts w:ascii="Times New Roman" w:hAnsi="Times New Roman" w:cs="Times New Roman"/>
        </w:rPr>
        <w:t>Nueva Ecija, Philippines</w:t>
      </w:r>
    </w:p>
    <w:p w14:paraId="3E7AD17F" w14:textId="62A42A40" w:rsidR="001135D9" w:rsidRPr="00A13C02" w:rsidRDefault="00107C49" w:rsidP="005F65E5">
      <w:pPr>
        <w:rPr>
          <w:rFonts w:ascii="Times New Roman" w:hAnsi="Times New Roman" w:cs="Times New Roman"/>
          <w:lang w:val="en-US"/>
        </w:rPr>
      </w:pPr>
      <w:r w:rsidRPr="007801AA">
        <w:rPr>
          <w:rFonts w:ascii="Times New Roman" w:hAnsi="Times New Roman" w:cs="Times New Roman"/>
          <w:bCs/>
          <w:vertAlign w:val="superscript"/>
        </w:rPr>
        <w:t>*</w:t>
      </w:r>
      <w:r w:rsidR="007801AA" w:rsidRPr="007801AA">
        <w:rPr>
          <w:rFonts w:ascii="Times New Roman" w:hAnsi="Times New Roman" w:cs="Times New Roman"/>
          <w:lang w:val="en-US"/>
        </w:rPr>
        <w:t>myle</w:t>
      </w:r>
      <w:r w:rsidR="007801AA">
        <w:rPr>
          <w:rFonts w:ascii="Times New Roman" w:hAnsi="Times New Roman" w:cs="Times New Roman"/>
          <w:lang w:val="en-US"/>
        </w:rPr>
        <w:t>nesacro@clsu.edu.ph</w:t>
      </w:r>
    </w:p>
    <w:p w14:paraId="08C3C337" w14:textId="77777777" w:rsidR="001135D9" w:rsidRPr="008A3387" w:rsidRDefault="001135D9" w:rsidP="005F65E5">
      <w:pPr>
        <w:spacing w:line="480" w:lineRule="auto"/>
        <w:jc w:val="center"/>
        <w:rPr>
          <w:rFonts w:ascii="Times New Roman" w:hAnsi="Times New Roman" w:cs="Times New Roman"/>
          <w:lang w:val="en-US"/>
        </w:rPr>
      </w:pPr>
    </w:p>
    <w:p w14:paraId="5924D2CC" w14:textId="7ACAB0D2" w:rsidR="001135D9" w:rsidRPr="008A3387" w:rsidRDefault="00CC6995" w:rsidP="005F65E5">
      <w:pPr>
        <w:spacing w:line="480" w:lineRule="auto"/>
        <w:jc w:val="center"/>
        <w:rPr>
          <w:rFonts w:ascii="Times New Roman" w:hAnsi="Times New Roman" w:cs="Times New Roman"/>
          <w:b/>
          <w:bCs/>
          <w:lang w:val="en-US"/>
        </w:rPr>
      </w:pPr>
      <w:r w:rsidRPr="008A3387">
        <w:rPr>
          <w:rFonts w:ascii="Times New Roman" w:hAnsi="Times New Roman" w:cs="Times New Roman"/>
          <w:b/>
          <w:bCs/>
          <w:lang w:val="en-US"/>
        </w:rPr>
        <w:t>ABSTRACT</w:t>
      </w:r>
    </w:p>
    <w:p w14:paraId="45D4AD3E" w14:textId="77777777" w:rsidR="00C0105A" w:rsidRPr="00C0105A" w:rsidRDefault="00C0105A" w:rsidP="00C0105A">
      <w:pPr>
        <w:spacing w:line="480" w:lineRule="auto"/>
        <w:ind w:firstLine="720"/>
        <w:jc w:val="both"/>
        <w:rPr>
          <w:rFonts w:ascii="Times New Roman" w:hAnsi="Times New Roman" w:cs="Times New Roman"/>
          <w:lang w:val="en-US"/>
        </w:rPr>
      </w:pPr>
      <w:r w:rsidRPr="00C0105A">
        <w:rPr>
          <w:rFonts w:ascii="Times New Roman" w:hAnsi="Times New Roman" w:cs="Times New Roman"/>
          <w:lang w:val="en-US"/>
        </w:rPr>
        <w:t>Fredrickson's broaden-and-build theory of positive emotions posits that positive emotions such as joy, interest, and contentment serve an evolutionary purpose by broadening people's momentary thought-action repertoires and building enduring psychological resources, including resilience and well -being. While the theory has received empirical support in various populations, much of the evidence stems from Western contexts, with limited application to emerging adults in collectivist, developing societies such as the Philippines. Therefore, this study aimed to test the theory's central assumption by examining whether hope mediates the relationship between positive emotion and resilience among emerging adults.</w:t>
      </w:r>
    </w:p>
    <w:p w14:paraId="6C0247C9" w14:textId="3ECD2198" w:rsidR="00C0105A" w:rsidRDefault="00C0105A" w:rsidP="00C0105A">
      <w:pPr>
        <w:spacing w:line="480" w:lineRule="auto"/>
        <w:ind w:firstLine="720"/>
        <w:jc w:val="both"/>
        <w:rPr>
          <w:rFonts w:ascii="Times New Roman" w:hAnsi="Times New Roman" w:cs="Times New Roman"/>
          <w:lang w:val="en-US"/>
        </w:rPr>
      </w:pPr>
      <w:r w:rsidRPr="00C0105A">
        <w:rPr>
          <w:rFonts w:ascii="Times New Roman" w:hAnsi="Times New Roman" w:cs="Times New Roman"/>
          <w:lang w:val="en-US"/>
        </w:rPr>
        <w:t xml:space="preserve">A cross-sectional survey was conducted online among 379 Filipino emerging adults (65.7% female and 34.3% male) aged 18-25 years from various municipalities in Nueva Ecija, Philippines. Participants completed the Adult Hope Scale (AHS), Connor-Davidson Resilience Scale (CD-RISC-10), and PANAS Scale. The study underwent an ethics review with a protocol </w:t>
      </w:r>
      <w:r w:rsidRPr="00C0105A">
        <w:rPr>
          <w:rFonts w:ascii="Times New Roman" w:hAnsi="Times New Roman" w:cs="Times New Roman"/>
          <w:lang w:val="en-US"/>
        </w:rPr>
        <w:lastRenderedPageBreak/>
        <w:t>number SLU-REC-SS 2022-077. Data were analyzed using mediation analysis. The results supported the basic assumption of the theory: positive emotions expand cognitive and behavioral capacities, facilitating the development of key psychological strengths such as hope and resilience. The study offers culturally relevant insights into the psychological development of Filipino emerging adults, who face challenges related to identity, purpose, and future uncertainty amplified by the rapid evolution of the AI era.</w:t>
      </w:r>
      <w:r>
        <w:rPr>
          <w:rFonts w:ascii="Times New Roman" w:hAnsi="Times New Roman" w:cs="Times New Roman"/>
          <w:lang w:val="en-US"/>
        </w:rPr>
        <w:t xml:space="preserve"> </w:t>
      </w:r>
      <w:r w:rsidRPr="00C0105A">
        <w:rPr>
          <w:rFonts w:ascii="Times New Roman" w:hAnsi="Times New Roman" w:cs="Times New Roman"/>
          <w:lang w:val="en-US"/>
        </w:rPr>
        <w:t>The study emphasized how feeling positive emotions can broaden an individual's thoughts, which in turn helps widen perspectives about the future. Individuals who have high hopes are equipped to face trials. The study findings can strengthen policies in designing programs or interventions, particularly AI-assisted resilience training apps or e-health interventions that promote positive emotional experiences and goal-setting behaviors. Moreover, future studies may test digital-related mechanisms such as social media usage and AI exposure influencing the relationship between positive emotion and resilience.</w:t>
      </w:r>
    </w:p>
    <w:p w14:paraId="07DF57CC" w14:textId="0DF786FD" w:rsidR="001135D9" w:rsidRPr="00267D9D" w:rsidRDefault="001135D9" w:rsidP="00C0105A">
      <w:pPr>
        <w:spacing w:line="480" w:lineRule="auto"/>
        <w:rPr>
          <w:rFonts w:ascii="Times New Roman" w:hAnsi="Times New Roman" w:cs="Times New Roman"/>
          <w:b/>
          <w:bCs/>
          <w:i/>
          <w:iCs/>
          <w:lang w:val="en-US"/>
        </w:rPr>
      </w:pPr>
      <w:r w:rsidRPr="008A3387">
        <w:rPr>
          <w:rFonts w:ascii="Times New Roman" w:hAnsi="Times New Roman" w:cs="Times New Roman"/>
          <w:b/>
          <w:bCs/>
          <w:lang w:val="en-US"/>
        </w:rPr>
        <w:t>Keywords</w:t>
      </w:r>
      <w:r w:rsidRPr="008A3387">
        <w:rPr>
          <w:rFonts w:ascii="Times New Roman" w:hAnsi="Times New Roman" w:cs="Times New Roman"/>
          <w:lang w:val="en-US"/>
        </w:rPr>
        <w:t>:</w:t>
      </w:r>
      <w:r w:rsidR="00CC6995" w:rsidRPr="008A3387">
        <w:rPr>
          <w:rFonts w:ascii="Times New Roman" w:hAnsi="Times New Roman" w:cs="Times New Roman"/>
          <w:lang w:val="en-US"/>
        </w:rPr>
        <w:t xml:space="preserve"> </w:t>
      </w:r>
      <w:r w:rsidR="00267D9D" w:rsidRPr="00267D9D">
        <w:rPr>
          <w:rFonts w:ascii="Times New Roman" w:hAnsi="Times New Roman" w:cs="Times New Roman"/>
          <w:i/>
          <w:iCs/>
          <w:lang w:val="en-US"/>
        </w:rPr>
        <w:t>e</w:t>
      </w:r>
      <w:r w:rsidR="00137685" w:rsidRPr="00267D9D">
        <w:rPr>
          <w:rFonts w:ascii="Times New Roman" w:hAnsi="Times New Roman" w:cs="Times New Roman"/>
          <w:i/>
          <w:iCs/>
          <w:lang w:val="en-US"/>
        </w:rPr>
        <w:t xml:space="preserve">merging adults, </w:t>
      </w:r>
      <w:r w:rsidR="00267D9D" w:rsidRPr="00267D9D">
        <w:rPr>
          <w:rFonts w:ascii="Times New Roman" w:hAnsi="Times New Roman" w:cs="Times New Roman"/>
          <w:i/>
          <w:iCs/>
        </w:rPr>
        <w:t>b</w:t>
      </w:r>
      <w:r w:rsidR="009A2141" w:rsidRPr="00267D9D">
        <w:rPr>
          <w:rFonts w:ascii="Times New Roman" w:hAnsi="Times New Roman" w:cs="Times New Roman"/>
          <w:i/>
          <w:iCs/>
        </w:rPr>
        <w:t xml:space="preserve">roaden-and-build theory, positive emotion, </w:t>
      </w:r>
      <w:r w:rsidR="00227B3F" w:rsidRPr="00267D9D">
        <w:rPr>
          <w:rFonts w:ascii="Times New Roman" w:hAnsi="Times New Roman" w:cs="Times New Roman"/>
          <w:i/>
          <w:iCs/>
        </w:rPr>
        <w:t xml:space="preserve">resilience, </w:t>
      </w:r>
      <w:r w:rsidR="009A2141" w:rsidRPr="00267D9D">
        <w:rPr>
          <w:rFonts w:ascii="Times New Roman" w:hAnsi="Times New Roman" w:cs="Times New Roman"/>
          <w:i/>
          <w:iCs/>
        </w:rPr>
        <w:t>well-being</w:t>
      </w:r>
    </w:p>
    <w:sectPr w:rsidR="001135D9" w:rsidRPr="00267D9D">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B20A" w14:textId="77777777" w:rsidR="0024598E" w:rsidRDefault="0024598E" w:rsidP="00C57B41">
      <w:r>
        <w:separator/>
      </w:r>
    </w:p>
  </w:endnote>
  <w:endnote w:type="continuationSeparator" w:id="0">
    <w:p w14:paraId="4AD111ED" w14:textId="77777777" w:rsidR="0024598E" w:rsidRDefault="0024598E"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0957" w14:textId="77777777" w:rsidR="0024598E" w:rsidRDefault="0024598E" w:rsidP="00C57B41">
      <w:r>
        <w:separator/>
      </w:r>
    </w:p>
  </w:footnote>
  <w:footnote w:type="continuationSeparator" w:id="0">
    <w:p w14:paraId="2D2C7AA8" w14:textId="77777777" w:rsidR="0024598E" w:rsidRDefault="0024598E"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Header"/>
    </w:pPr>
    <w:r>
      <w:t>IPRC2025-Abstract</w:t>
    </w:r>
  </w:p>
  <w:p w14:paraId="02E7A80E" w14:textId="77777777" w:rsidR="00C57B41" w:rsidRDefault="00C5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0.95pt;height:10.95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40971">
    <w:abstractNumId w:val="6"/>
  </w:num>
  <w:num w:numId="2" w16cid:durableId="695350286">
    <w:abstractNumId w:val="7"/>
  </w:num>
  <w:num w:numId="3" w16cid:durableId="707148578">
    <w:abstractNumId w:val="3"/>
  </w:num>
  <w:num w:numId="4" w16cid:durableId="1521042360">
    <w:abstractNumId w:val="8"/>
  </w:num>
  <w:num w:numId="5" w16cid:durableId="405147164">
    <w:abstractNumId w:val="4"/>
  </w:num>
  <w:num w:numId="6" w16cid:durableId="743648429">
    <w:abstractNumId w:val="10"/>
  </w:num>
  <w:num w:numId="7" w16cid:durableId="1528828325">
    <w:abstractNumId w:val="1"/>
  </w:num>
  <w:num w:numId="8" w16cid:durableId="1302153477">
    <w:abstractNumId w:val="0"/>
  </w:num>
  <w:num w:numId="9" w16cid:durableId="1621110887">
    <w:abstractNumId w:val="2"/>
  </w:num>
  <w:num w:numId="10" w16cid:durableId="1178885569">
    <w:abstractNumId w:val="5"/>
  </w:num>
  <w:num w:numId="11" w16cid:durableId="8931959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C5048"/>
    <w:rsid w:val="00107374"/>
    <w:rsid w:val="00107C49"/>
    <w:rsid w:val="001135D9"/>
    <w:rsid w:val="00137685"/>
    <w:rsid w:val="00181269"/>
    <w:rsid w:val="001A0491"/>
    <w:rsid w:val="001A6B36"/>
    <w:rsid w:val="001E033E"/>
    <w:rsid w:val="001E0D49"/>
    <w:rsid w:val="002013B8"/>
    <w:rsid w:val="002135A5"/>
    <w:rsid w:val="00227B3F"/>
    <w:rsid w:val="0024598E"/>
    <w:rsid w:val="00265F14"/>
    <w:rsid w:val="00267D9D"/>
    <w:rsid w:val="00273242"/>
    <w:rsid w:val="00273B56"/>
    <w:rsid w:val="00276E0F"/>
    <w:rsid w:val="00296532"/>
    <w:rsid w:val="002F7849"/>
    <w:rsid w:val="003B5376"/>
    <w:rsid w:val="003D27A3"/>
    <w:rsid w:val="004E4C48"/>
    <w:rsid w:val="004F0FFD"/>
    <w:rsid w:val="00515B96"/>
    <w:rsid w:val="005D1ABD"/>
    <w:rsid w:val="005F65E5"/>
    <w:rsid w:val="006130E0"/>
    <w:rsid w:val="006F3219"/>
    <w:rsid w:val="00723555"/>
    <w:rsid w:val="007679AC"/>
    <w:rsid w:val="007801AA"/>
    <w:rsid w:val="007B0439"/>
    <w:rsid w:val="008602D7"/>
    <w:rsid w:val="0086557A"/>
    <w:rsid w:val="00882298"/>
    <w:rsid w:val="00886910"/>
    <w:rsid w:val="00891AF6"/>
    <w:rsid w:val="008953E5"/>
    <w:rsid w:val="008A3387"/>
    <w:rsid w:val="00934A60"/>
    <w:rsid w:val="0094741D"/>
    <w:rsid w:val="009568A6"/>
    <w:rsid w:val="00972B4E"/>
    <w:rsid w:val="0098200E"/>
    <w:rsid w:val="009A1D27"/>
    <w:rsid w:val="009A2141"/>
    <w:rsid w:val="009B3880"/>
    <w:rsid w:val="009B5A4C"/>
    <w:rsid w:val="009C23C3"/>
    <w:rsid w:val="009C3854"/>
    <w:rsid w:val="009D6B59"/>
    <w:rsid w:val="009E4B10"/>
    <w:rsid w:val="009F1EA4"/>
    <w:rsid w:val="009F2258"/>
    <w:rsid w:val="00A13C02"/>
    <w:rsid w:val="00AD7D45"/>
    <w:rsid w:val="00B40A76"/>
    <w:rsid w:val="00B42F9A"/>
    <w:rsid w:val="00B56603"/>
    <w:rsid w:val="00B6039C"/>
    <w:rsid w:val="00BE1172"/>
    <w:rsid w:val="00BF0B92"/>
    <w:rsid w:val="00C0105A"/>
    <w:rsid w:val="00C467AE"/>
    <w:rsid w:val="00C57B41"/>
    <w:rsid w:val="00C60290"/>
    <w:rsid w:val="00C731AB"/>
    <w:rsid w:val="00C94C21"/>
    <w:rsid w:val="00CC20E3"/>
    <w:rsid w:val="00CC6995"/>
    <w:rsid w:val="00CD72AA"/>
    <w:rsid w:val="00D23EBE"/>
    <w:rsid w:val="00DE07F0"/>
    <w:rsid w:val="00DE2097"/>
    <w:rsid w:val="00DF2911"/>
    <w:rsid w:val="00E022DB"/>
    <w:rsid w:val="00E335DA"/>
    <w:rsid w:val="00E3760D"/>
    <w:rsid w:val="00EC6C4D"/>
    <w:rsid w:val="00EC7603"/>
    <w:rsid w:val="00F7056D"/>
    <w:rsid w:val="00FE27D1"/>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49"/>
    <w:pPr>
      <w:ind w:left="720"/>
      <w:contextualSpacing/>
    </w:pPr>
  </w:style>
  <w:style w:type="paragraph" w:styleId="Revision">
    <w:name w:val="Revision"/>
    <w:hidden/>
    <w:uiPriority w:val="99"/>
    <w:semiHidden/>
    <w:rsid w:val="00886910"/>
  </w:style>
  <w:style w:type="paragraph" w:styleId="Header">
    <w:name w:val="header"/>
    <w:basedOn w:val="Normal"/>
    <w:link w:val="HeaderChar"/>
    <w:uiPriority w:val="99"/>
    <w:unhideWhenUsed/>
    <w:rsid w:val="00C57B41"/>
    <w:pPr>
      <w:tabs>
        <w:tab w:val="center" w:pos="4680"/>
        <w:tab w:val="right" w:pos="9360"/>
      </w:tabs>
    </w:pPr>
  </w:style>
  <w:style w:type="character" w:customStyle="1" w:styleId="HeaderChar">
    <w:name w:val="Header Char"/>
    <w:basedOn w:val="DefaultParagraphFont"/>
    <w:link w:val="Header"/>
    <w:uiPriority w:val="99"/>
    <w:rsid w:val="00C57B41"/>
  </w:style>
  <w:style w:type="paragraph" w:styleId="Footer">
    <w:name w:val="footer"/>
    <w:basedOn w:val="Normal"/>
    <w:link w:val="FooterChar"/>
    <w:uiPriority w:val="99"/>
    <w:unhideWhenUsed/>
    <w:rsid w:val="00C57B41"/>
    <w:pPr>
      <w:tabs>
        <w:tab w:val="center" w:pos="4680"/>
        <w:tab w:val="right" w:pos="9360"/>
      </w:tabs>
    </w:pPr>
  </w:style>
  <w:style w:type="character" w:customStyle="1" w:styleId="FooterChar">
    <w:name w:val="Footer Char"/>
    <w:basedOn w:val="DefaultParagraphFont"/>
    <w:link w:val="Footer"/>
    <w:uiPriority w:val="99"/>
    <w:rsid w:val="00C57B41"/>
  </w:style>
  <w:style w:type="character" w:styleId="Hyperlink">
    <w:name w:val="Hyperlink"/>
    <w:basedOn w:val="DefaultParagraphFont"/>
    <w:uiPriority w:val="99"/>
    <w:unhideWhenUsed/>
    <w:rsid w:val="00A13C02"/>
    <w:rPr>
      <w:color w:val="0563C1" w:themeColor="hyperlink"/>
      <w:u w:val="single"/>
    </w:rPr>
  </w:style>
  <w:style w:type="character" w:styleId="UnresolvedMention">
    <w:name w:val="Unresolved Mention"/>
    <w:basedOn w:val="DefaultParagraphFont"/>
    <w:uiPriority w:val="99"/>
    <w:semiHidden/>
    <w:unhideWhenUsed/>
    <w:rsid w:val="00A1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9EE78-2FDA-874B-8625-54C342FE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CHOTIKA PATTAMAPORN</cp:lastModifiedBy>
  <cp:revision>2</cp:revision>
  <dcterms:created xsi:type="dcterms:W3CDTF">2025-08-04T02:11:00Z</dcterms:created>
  <dcterms:modified xsi:type="dcterms:W3CDTF">2025-08-04T02:11:00Z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