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33C" w14:textId="77777777" w:rsidR="00CC6995" w:rsidRPr="004465A9" w:rsidRDefault="00CC6995" w:rsidP="00D601B8">
      <w:pPr>
        <w:spacing w:line="480" w:lineRule="auto"/>
        <w:rPr>
          <w:rFonts w:ascii="Times New Roman" w:hAnsi="Times New Roman" w:cs="Times New Roman"/>
          <w:b/>
          <w:bCs/>
          <w:color w:val="000000"/>
        </w:rPr>
      </w:pPr>
      <w:r w:rsidRPr="004465A9">
        <w:rPr>
          <w:rFonts w:ascii="Times New Roman" w:hAnsi="Times New Roman" w:cs="Times New Roman"/>
          <w:b/>
          <w:bCs/>
          <w:noProof/>
        </w:rPr>
        <w:drawing>
          <wp:inline distT="0" distB="0" distL="0" distR="0" wp14:anchorId="34AABE86" wp14:editId="6B9152AC">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sidRPr="004465A9">
        <w:rPr>
          <w:rFonts w:ascii="Times New Roman" w:hAnsi="Times New Roman" w:cs="Times New Roman"/>
          <w:b/>
          <w:bCs/>
        </w:rPr>
        <w:t>The 22</w:t>
      </w:r>
      <w:r w:rsidRPr="004465A9">
        <w:rPr>
          <w:rFonts w:ascii="Times New Roman" w:hAnsi="Times New Roman" w:cs="Times New Roman"/>
          <w:b/>
          <w:bCs/>
          <w:vertAlign w:val="superscript"/>
        </w:rPr>
        <w:t>nd</w:t>
      </w:r>
      <w:r w:rsidRPr="004465A9">
        <w:rPr>
          <w:rFonts w:ascii="Times New Roman" w:hAnsi="Times New Roman" w:cs="Times New Roman"/>
          <w:b/>
          <w:bCs/>
        </w:rPr>
        <w:t xml:space="preserve"> International Postgraduate Research Colloquium</w:t>
      </w:r>
    </w:p>
    <w:p w14:paraId="25F34347" w14:textId="77777777" w:rsidR="00294AC2" w:rsidRDefault="00294AC2" w:rsidP="00D601B8">
      <w:pPr>
        <w:spacing w:line="480" w:lineRule="auto"/>
        <w:rPr>
          <w:rFonts w:ascii="Times New Roman" w:hAnsi="Times New Roman" w:cs="Times New Roman"/>
          <w:b/>
          <w:bCs/>
          <w:sz w:val="28"/>
          <w:szCs w:val="28"/>
          <w:lang w:val="en-US"/>
        </w:rPr>
      </w:pPr>
    </w:p>
    <w:p w14:paraId="09224CFA" w14:textId="39EF21DF" w:rsidR="00E1725C" w:rsidRPr="004465A9" w:rsidRDefault="00E1725C" w:rsidP="00D601B8">
      <w:pPr>
        <w:spacing w:line="480" w:lineRule="auto"/>
        <w:rPr>
          <w:rFonts w:ascii="Times New Roman" w:hAnsi="Times New Roman" w:cs="Times New Roman"/>
          <w:color w:val="000000" w:themeColor="text1"/>
          <w:sz w:val="28"/>
          <w:szCs w:val="28"/>
        </w:rPr>
      </w:pPr>
      <w:r w:rsidRPr="004465A9">
        <w:rPr>
          <w:rFonts w:ascii="Times New Roman" w:hAnsi="Times New Roman" w:cs="Times New Roman"/>
          <w:b/>
          <w:bCs/>
          <w:color w:val="000000" w:themeColor="text1"/>
          <w:sz w:val="28"/>
          <w:szCs w:val="28"/>
        </w:rPr>
        <w:t xml:space="preserve">More Than Just Objects: A Qualitative Systematic Review </w:t>
      </w:r>
    </w:p>
    <w:p w14:paraId="41A761CA" w14:textId="77777777" w:rsidR="00532255" w:rsidRDefault="00E1725C" w:rsidP="00532255">
      <w:pPr>
        <w:spacing w:line="480" w:lineRule="auto"/>
        <w:rPr>
          <w:rFonts w:ascii="Times New Roman" w:hAnsi="Times New Roman" w:cs="Times New Roman"/>
          <w:b/>
          <w:bCs/>
          <w:lang w:val="en-US"/>
        </w:rPr>
      </w:pPr>
      <w:r w:rsidRPr="004465A9">
        <w:rPr>
          <w:rFonts w:ascii="Times New Roman" w:hAnsi="Times New Roman" w:cs="Times New Roman"/>
          <w:b/>
          <w:bCs/>
          <w:color w:val="000000" w:themeColor="text1"/>
          <w:sz w:val="28"/>
          <w:szCs w:val="28"/>
        </w:rPr>
        <w:t xml:space="preserve">and Meta-Synthesis of Student Perspectives </w:t>
      </w:r>
      <w:r w:rsidR="00882915" w:rsidRPr="004465A9">
        <w:rPr>
          <w:rFonts w:ascii="Times New Roman" w:hAnsi="Times New Roman" w:cs="Times New Roman"/>
          <w:b/>
          <w:bCs/>
          <w:color w:val="000000" w:themeColor="text1"/>
          <w:sz w:val="28"/>
          <w:szCs w:val="28"/>
        </w:rPr>
        <w:t>of Museum</w:t>
      </w:r>
      <w:r w:rsidRPr="004465A9">
        <w:rPr>
          <w:rFonts w:ascii="Times New Roman" w:hAnsi="Times New Roman" w:cs="Times New Roman"/>
          <w:b/>
          <w:bCs/>
          <w:color w:val="000000" w:themeColor="text1"/>
          <w:sz w:val="28"/>
          <w:szCs w:val="28"/>
        </w:rPr>
        <w:t>-Based Learning</w:t>
      </w:r>
    </w:p>
    <w:p w14:paraId="1E37E83B" w14:textId="5E1AB53A" w:rsidR="001135D9" w:rsidRPr="00882915" w:rsidRDefault="001135D9" w:rsidP="00532255">
      <w:pPr>
        <w:spacing w:line="480" w:lineRule="auto"/>
        <w:rPr>
          <w:rFonts w:ascii="Times New Roman" w:hAnsi="Times New Roman" w:cs="Times New Roman"/>
          <w:b/>
          <w:bCs/>
          <w:lang w:val="en-US"/>
        </w:rPr>
      </w:pPr>
      <w:r w:rsidRPr="004465A9">
        <w:rPr>
          <w:rFonts w:ascii="Times New Roman" w:hAnsi="Times New Roman" w:cs="Times New Roman"/>
          <w:b/>
          <w:bCs/>
          <w:lang w:val="en-US"/>
        </w:rPr>
        <w:br/>
      </w:r>
      <w:r w:rsidR="008B6A85" w:rsidRPr="004465A9">
        <w:rPr>
          <w:rFonts w:ascii="Times New Roman" w:hAnsi="Times New Roman" w:cs="Times New Roman"/>
          <w:lang w:val="en-US"/>
        </w:rPr>
        <w:t>Ploychompoo Pornsiriviwat</w:t>
      </w:r>
      <w:r w:rsidR="00CC6995" w:rsidRPr="004465A9">
        <w:rPr>
          <w:rFonts w:ascii="Times New Roman" w:hAnsi="Times New Roman" w:cs="Times New Roman"/>
          <w:bCs/>
          <w:vertAlign w:val="superscript"/>
        </w:rPr>
        <w:t>1 *</w:t>
      </w:r>
      <w:r w:rsidR="00CC6995" w:rsidRPr="004465A9">
        <w:rPr>
          <w:rFonts w:ascii="Times New Roman" w:hAnsi="Times New Roman" w:cs="Times New Roman"/>
          <w:lang w:val="en-US"/>
        </w:rPr>
        <w:t xml:space="preserve">, </w:t>
      </w:r>
      <w:r w:rsidR="00DA5098" w:rsidRPr="00DA5098">
        <w:rPr>
          <w:rFonts w:ascii="Times New Roman" w:hAnsi="Times New Roman" w:cs="Times New Roman" w:hint="cs"/>
        </w:rPr>
        <w:t>Pitchada Prasittichok</w:t>
      </w:r>
      <w:r w:rsidR="00DA5098" w:rsidRPr="00DA5098">
        <w:rPr>
          <w:rFonts w:ascii="Times New Roman" w:hAnsi="Times New Roman" w:cs="Times New Roman"/>
        </w:rPr>
        <w:t xml:space="preserve"> </w:t>
      </w:r>
      <w:r w:rsidR="00CC6995" w:rsidRPr="004465A9">
        <w:rPr>
          <w:rFonts w:ascii="Times New Roman" w:hAnsi="Times New Roman" w:cs="Times New Roman"/>
          <w:bCs/>
          <w:vertAlign w:val="superscript"/>
        </w:rPr>
        <w:t>2,</w:t>
      </w:r>
      <w:r w:rsidR="00CC6995" w:rsidRPr="004465A9">
        <w:rPr>
          <w:rFonts w:ascii="Times New Roman" w:hAnsi="Times New Roman" w:cs="Times New Roman"/>
          <w:lang w:val="en-US"/>
        </w:rPr>
        <w:t xml:space="preserve"> </w:t>
      </w:r>
      <w:r w:rsidR="00DA5098" w:rsidRPr="0031433E">
        <w:rPr>
          <w:rFonts w:ascii="Times New Roman" w:hAnsi="Times New Roman" w:cs="Times New Roman"/>
        </w:rPr>
        <w:t>Charin Suwanwong</w:t>
      </w:r>
      <w:r w:rsidR="00DA5098" w:rsidRPr="0031433E">
        <w:rPr>
          <w:rFonts w:ascii="Times New Roman" w:hAnsi="Times New Roman" w:cs="Times New Roman"/>
          <w:bCs/>
          <w:vertAlign w:val="superscript"/>
        </w:rPr>
        <w:t xml:space="preserve"> </w:t>
      </w:r>
      <w:r w:rsidR="00CC6995" w:rsidRPr="004465A9">
        <w:rPr>
          <w:rFonts w:ascii="Times New Roman" w:hAnsi="Times New Roman" w:cs="Times New Roman"/>
          <w:bCs/>
          <w:vertAlign w:val="superscript"/>
        </w:rPr>
        <w:t>3</w:t>
      </w:r>
    </w:p>
    <w:p w14:paraId="61D4DEF9" w14:textId="3C7F530B" w:rsidR="001135D9" w:rsidRPr="009520B7" w:rsidRDefault="00CC6995" w:rsidP="00D601B8">
      <w:pPr>
        <w:spacing w:line="480" w:lineRule="auto"/>
        <w:rPr>
          <w:rFonts w:ascii="Times New Roman" w:hAnsi="Times New Roman" w:cs="Times New Roman"/>
          <w:lang w:val="en-US"/>
        </w:rPr>
      </w:pPr>
      <w:r w:rsidRPr="004465A9">
        <w:rPr>
          <w:rFonts w:ascii="Times New Roman" w:hAnsi="Times New Roman" w:cs="Times New Roman"/>
          <w:bCs/>
          <w:vertAlign w:val="superscript"/>
        </w:rPr>
        <w:t>1</w:t>
      </w:r>
      <w:r w:rsidR="00C731AB" w:rsidRPr="009520B7">
        <w:rPr>
          <w:rFonts w:ascii="Times New Roman" w:hAnsi="Times New Roman" w:cs="Times New Roman"/>
          <w:lang w:val="en-US"/>
        </w:rPr>
        <w:t xml:space="preserve">PhD student in </w:t>
      </w:r>
      <w:r w:rsidRPr="009520B7">
        <w:rPr>
          <w:rFonts w:ascii="Times New Roman" w:hAnsi="Times New Roman" w:cs="Times New Roman"/>
          <w:lang w:val="en-US"/>
        </w:rPr>
        <w:t>Behavioral Science Research Institute, Srinakharinwirot University, Bangkok, Thailand</w:t>
      </w:r>
    </w:p>
    <w:p w14:paraId="352B2811" w14:textId="04F0E269" w:rsidR="00CC6995" w:rsidRPr="004465A9" w:rsidRDefault="00CC6995" w:rsidP="00313C65">
      <w:pPr>
        <w:spacing w:line="480" w:lineRule="auto"/>
        <w:rPr>
          <w:rFonts w:ascii="Times New Roman" w:hAnsi="Times New Roman" w:cs="Times New Roman"/>
          <w:lang w:val="en-US"/>
        </w:rPr>
      </w:pPr>
      <w:r w:rsidRPr="004465A9">
        <w:rPr>
          <w:rFonts w:ascii="Times New Roman" w:hAnsi="Times New Roman" w:cs="Times New Roman"/>
          <w:bCs/>
          <w:vertAlign w:val="superscript"/>
        </w:rPr>
        <w:t>2</w:t>
      </w:r>
      <w:r w:rsidR="00313C65" w:rsidRPr="00313C65">
        <w:rPr>
          <w:rFonts w:ascii="Times New Roman" w:hAnsi="Times New Roman" w:cs="Times New Roman" w:hint="cs"/>
        </w:rPr>
        <w:t xml:space="preserve">Assistant </w:t>
      </w:r>
      <w:r w:rsidR="00882915" w:rsidRPr="00313C65">
        <w:rPr>
          <w:rFonts w:ascii="Times New Roman" w:hAnsi="Times New Roman" w:cs="Times New Roman"/>
        </w:rPr>
        <w:t>Professor</w:t>
      </w:r>
      <w:r w:rsidR="00313C65" w:rsidRPr="00313C65">
        <w:rPr>
          <w:rFonts w:ascii="Times New Roman" w:hAnsi="Times New Roman" w:cs="Times New Roman"/>
          <w:lang w:val="en-US"/>
        </w:rPr>
        <w:t xml:space="preserve"> </w:t>
      </w:r>
      <w:r w:rsidR="00313C65" w:rsidRPr="009520B7">
        <w:rPr>
          <w:rFonts w:ascii="Times New Roman" w:hAnsi="Times New Roman" w:cs="Times New Roman"/>
          <w:lang w:val="en-US"/>
        </w:rPr>
        <w:t>in Behavioral Science Research Institute, Srinakharinwirot University, Bangkok, Thailand</w:t>
      </w:r>
    </w:p>
    <w:p w14:paraId="2383E485" w14:textId="24CF43CA" w:rsidR="00882915" w:rsidRDefault="00CC6995" w:rsidP="00882915">
      <w:pPr>
        <w:spacing w:line="480" w:lineRule="auto"/>
        <w:rPr>
          <w:rFonts w:ascii="Times New Roman" w:hAnsi="Times New Roman" w:cs="Times New Roman"/>
          <w:lang w:val="en-US"/>
        </w:rPr>
      </w:pPr>
      <w:r w:rsidRPr="004465A9">
        <w:rPr>
          <w:rFonts w:ascii="Times New Roman" w:hAnsi="Times New Roman" w:cs="Times New Roman"/>
          <w:bCs/>
          <w:vertAlign w:val="superscript"/>
        </w:rPr>
        <w:t>3</w:t>
      </w:r>
      <w:r w:rsidR="00882915" w:rsidRPr="00882915">
        <w:rPr>
          <w:rFonts w:ascii="Trirong" w:hAnsi="Trirong" w:cs="Trirong" w:hint="cs"/>
          <w:color w:val="1C1C1C"/>
          <w:spacing w:val="4"/>
          <w:shd w:val="clear" w:color="auto" w:fill="FFFFFF"/>
        </w:rPr>
        <w:t xml:space="preserve"> </w:t>
      </w:r>
      <w:r w:rsidR="00882915" w:rsidRPr="00882915">
        <w:rPr>
          <w:rFonts w:ascii="Times New Roman" w:hAnsi="Times New Roman" w:cs="Times New Roman" w:hint="cs"/>
        </w:rPr>
        <w:t>Lecturer</w:t>
      </w:r>
      <w:r w:rsidR="00882915" w:rsidRPr="00882915">
        <w:rPr>
          <w:rFonts w:ascii="Times New Roman" w:hAnsi="Times New Roman" w:cs="Times New Roman"/>
          <w:lang w:val="en-US"/>
        </w:rPr>
        <w:t xml:space="preserve"> </w:t>
      </w:r>
      <w:r w:rsidR="00882915" w:rsidRPr="009520B7">
        <w:rPr>
          <w:rFonts w:ascii="Times New Roman" w:hAnsi="Times New Roman" w:cs="Times New Roman"/>
          <w:lang w:val="en-US"/>
        </w:rPr>
        <w:t>in Behavioral Science Research Institute, Srinakharinwirot University, Bangkok, Thailand</w:t>
      </w:r>
    </w:p>
    <w:p w14:paraId="5D61F3E3" w14:textId="77777777" w:rsidR="00532255" w:rsidRPr="00882915" w:rsidRDefault="00532255" w:rsidP="00882915">
      <w:pPr>
        <w:spacing w:line="480" w:lineRule="auto"/>
        <w:rPr>
          <w:rFonts w:ascii="Times New Roman" w:hAnsi="Times New Roman" w:cs="Times New Roman"/>
          <w:lang w:val="en-US"/>
        </w:rPr>
      </w:pPr>
    </w:p>
    <w:p w14:paraId="08C3C337" w14:textId="3ACE9DAE" w:rsidR="001135D9" w:rsidRPr="00743812" w:rsidRDefault="00CC6995" w:rsidP="00882915">
      <w:pPr>
        <w:spacing w:line="480" w:lineRule="auto"/>
        <w:rPr>
          <w:rFonts w:ascii="Times New Roman" w:hAnsi="Times New Roman" w:cs="Times New Roman"/>
          <w:lang w:val="en-US"/>
        </w:rPr>
      </w:pPr>
      <w:r w:rsidRPr="004465A9">
        <w:rPr>
          <w:rFonts w:ascii="Times New Roman" w:hAnsi="Times New Roman" w:cs="Times New Roman"/>
          <w:bCs/>
          <w:vertAlign w:val="superscript"/>
        </w:rPr>
        <w:t>*</w:t>
      </w:r>
      <w:r w:rsidR="001135D9" w:rsidRPr="004465A9">
        <w:rPr>
          <w:rFonts w:ascii="Times New Roman" w:hAnsi="Times New Roman" w:cs="Times New Roman"/>
          <w:lang w:val="en-US"/>
        </w:rPr>
        <w:t>Corresponding author email</w:t>
      </w:r>
      <w:r w:rsidR="001135D9" w:rsidRPr="004465A9">
        <w:rPr>
          <w:rFonts w:ascii="Times New Roman" w:hAnsi="Times New Roman" w:cs="Times New Roman"/>
          <w:color w:val="0070C0"/>
          <w:lang w:val="en-US"/>
        </w:rPr>
        <w:t xml:space="preserve">: </w:t>
      </w:r>
      <w:r w:rsidR="00C0014A" w:rsidRPr="00743812">
        <w:rPr>
          <w:rFonts w:ascii="Times New Roman" w:hAnsi="Times New Roman" w:cs="Times New Roman"/>
          <w:lang w:val="en-US"/>
        </w:rPr>
        <w:t>p</w:t>
      </w:r>
      <w:r w:rsidR="008B6A85" w:rsidRPr="00743812">
        <w:rPr>
          <w:rFonts w:ascii="Times New Roman" w:hAnsi="Times New Roman" w:cs="Times New Roman"/>
          <w:lang w:val="en-US"/>
        </w:rPr>
        <w:t>loychompoo.pornsiriviwat</w:t>
      </w:r>
      <w:r w:rsidR="00C0014A" w:rsidRPr="00743812">
        <w:rPr>
          <w:rFonts w:ascii="Times New Roman" w:hAnsi="Times New Roman" w:cs="Times New Roman"/>
          <w:lang w:val="en-US"/>
        </w:rPr>
        <w:t>@g.swu.ac.th</w:t>
      </w:r>
    </w:p>
    <w:p w14:paraId="79B22DCF" w14:textId="77777777" w:rsidR="00882915" w:rsidRDefault="00882915" w:rsidP="00D601B8">
      <w:pPr>
        <w:spacing w:line="480" w:lineRule="auto"/>
        <w:rPr>
          <w:rFonts w:ascii="Times New Roman" w:hAnsi="Times New Roman" w:cs="Times New Roman"/>
          <w:b/>
          <w:bCs/>
          <w:lang w:val="en-US"/>
        </w:rPr>
      </w:pPr>
    </w:p>
    <w:p w14:paraId="5924D2CC" w14:textId="34F01714" w:rsidR="001135D9" w:rsidRPr="004465A9" w:rsidRDefault="00CC6995" w:rsidP="00D601B8">
      <w:pPr>
        <w:spacing w:line="480" w:lineRule="auto"/>
        <w:rPr>
          <w:rFonts w:ascii="Times New Roman" w:hAnsi="Times New Roman" w:cs="Times New Roman"/>
          <w:b/>
          <w:bCs/>
          <w:lang w:val="en-US"/>
        </w:rPr>
      </w:pPr>
      <w:r w:rsidRPr="004465A9">
        <w:rPr>
          <w:rFonts w:ascii="Times New Roman" w:hAnsi="Times New Roman" w:cs="Times New Roman"/>
          <w:b/>
          <w:bCs/>
          <w:lang w:val="en-US"/>
        </w:rPr>
        <w:t>ABSTRACT</w:t>
      </w:r>
    </w:p>
    <w:p w14:paraId="2A8D3EAD" w14:textId="2A9DBCC3" w:rsidR="002C3E3F" w:rsidRDefault="002C3E3F" w:rsidP="002C3E3F">
      <w:pPr>
        <w:spacing w:line="480" w:lineRule="auto"/>
        <w:jc w:val="thaiDistribute"/>
        <w:rPr>
          <w:rFonts w:ascii="Times New Roman" w:hAnsi="Times New Roman" w:cs="Times New Roman"/>
          <w:b/>
          <w:bCs/>
          <w:lang w:val="en-US"/>
        </w:rPr>
      </w:pPr>
      <w:r w:rsidRPr="002C3E3F">
        <w:rPr>
          <w:rFonts w:ascii="Times New Roman" w:hAnsi="Times New Roman" w:cs="Times New Roman"/>
          <w:lang w:val="en-US"/>
        </w:rPr>
        <w:t xml:space="preserve">“More Than Just Objects” reflects a shifting paradigm: museums are no longer static spaces for displaying artifacts, but dynamic environments for social learning, creativity, and transformation. This study aims to synthesize existing qualitative research on student experiences in museum-based learning (MBL) through a systematic literature review and meta-synthesis. Rooted in UNESCO’s vision of museums as inclusive, lifelong learning spaces, the research seeks to </w:t>
      </w:r>
      <w:r w:rsidRPr="002C3E3F">
        <w:rPr>
          <w:rFonts w:ascii="Times New Roman" w:hAnsi="Times New Roman" w:cs="Times New Roman"/>
          <w:lang w:val="en-US"/>
        </w:rPr>
        <w:lastRenderedPageBreak/>
        <w:t>understand how MBL fosters meaningful engagement and how it can be improved to better serve educational and social goals. The SPIDER framework guided the design of the review, and PRISMA protocols were followed. Eleven qualitative and mixed</w:t>
      </w:r>
      <w:r>
        <w:rPr>
          <w:rFonts w:ascii="Times New Roman" w:hAnsi="Times New Roman" w:cs="Times New Roman"/>
          <w:lang w:val="en-US"/>
        </w:rPr>
        <w:t xml:space="preserve"> </w:t>
      </w:r>
      <w:r w:rsidRPr="002C3E3F">
        <w:rPr>
          <w:rFonts w:ascii="Times New Roman" w:hAnsi="Times New Roman" w:cs="Times New Roman"/>
          <w:lang w:val="en-US"/>
        </w:rPr>
        <w:t>method</w:t>
      </w:r>
      <w:r>
        <w:rPr>
          <w:rFonts w:ascii="Times New Roman" w:hAnsi="Times New Roman" w:cs="Times New Roman"/>
          <w:lang w:val="en-US"/>
        </w:rPr>
        <w:t>s</w:t>
      </w:r>
      <w:r w:rsidRPr="002C3E3F">
        <w:rPr>
          <w:rFonts w:ascii="Times New Roman" w:hAnsi="Times New Roman" w:cs="Times New Roman"/>
          <w:lang w:val="en-US"/>
        </w:rPr>
        <w:t xml:space="preserve"> studies published between 2020 and 2025 were selected from Scopus, ERIC, Google Scholar, and the Journal of Museum Education. Each study was critically appraised using the JBI Checklist for Qualitative Research. Through thematic synthesis, five core themes emerged: Building Collaboration, Enhancing Creativity, Museum Communication, Development of Critical Thinking, and Application of Technology. These findings reveal that MBL’s potential lies not in objects alone, but in how those objects are interpreted, discussed, and situated in lived experiences. Barriers such as staff capacity, poor communication, and digital limitations remain, but MBL continues to offer essential human-centered skills, such as empathy, co-creation, and inquiry, which are vital in an AI-driven world. This synthesis offers practical guidance for making museums more accessible, adaptive, and impactful through more effective MBL design.</w:t>
      </w:r>
    </w:p>
    <w:p w14:paraId="76D2EDC8" w14:textId="77777777" w:rsidR="002C3E3F" w:rsidRDefault="002C3E3F" w:rsidP="002C3E3F">
      <w:pPr>
        <w:spacing w:line="480" w:lineRule="auto"/>
        <w:rPr>
          <w:rFonts w:ascii="Times New Roman" w:hAnsi="Times New Roman" w:cs="Times New Roman"/>
          <w:b/>
          <w:bCs/>
          <w:lang w:val="en-US"/>
        </w:rPr>
      </w:pPr>
    </w:p>
    <w:p w14:paraId="07DA0203" w14:textId="4655FB2A" w:rsidR="001135D9" w:rsidRPr="00CB2037" w:rsidRDefault="002C3E3F" w:rsidP="00CB2037">
      <w:pPr>
        <w:spacing w:line="480" w:lineRule="auto"/>
        <w:rPr>
          <w:rFonts w:ascii="Times New Roman" w:hAnsi="Times New Roman"/>
          <w:color w:val="0070C0"/>
          <w:szCs w:val="30"/>
          <w:cs/>
          <w:lang w:val="en-US" w:bidi="th-TH"/>
        </w:rPr>
      </w:pPr>
      <w:r w:rsidRPr="002C3E3F">
        <w:rPr>
          <w:rFonts w:ascii="Times New Roman" w:hAnsi="Times New Roman" w:cs="Times New Roman"/>
          <w:b/>
          <w:bCs/>
          <w:lang w:val="en-US"/>
        </w:rPr>
        <w:t>Keywords:</w:t>
      </w:r>
      <w:r w:rsidRPr="002C3E3F">
        <w:rPr>
          <w:rFonts w:ascii="Times New Roman" w:hAnsi="Times New Roman" w:cs="Times New Roman"/>
          <w:lang w:val="en-US"/>
        </w:rPr>
        <w:t xml:space="preserve"> </w:t>
      </w:r>
      <w:r w:rsidR="00CB2037">
        <w:rPr>
          <w:rFonts w:ascii="Times New Roman" w:hAnsi="Times New Roman" w:cs="Times New Roman"/>
          <w:i/>
          <w:iCs/>
          <w:lang w:val="en-US"/>
        </w:rPr>
        <w:t>e</w:t>
      </w:r>
      <w:r w:rsidR="00CB2037" w:rsidRPr="00CB2037">
        <w:rPr>
          <w:rFonts w:ascii="Times New Roman" w:hAnsi="Times New Roman" w:cs="Times New Roman"/>
          <w:i/>
          <w:iCs/>
          <w:lang w:val="en-US"/>
        </w:rPr>
        <w:t xml:space="preserve">ducational </w:t>
      </w:r>
      <w:r w:rsidR="00CB2037">
        <w:rPr>
          <w:rFonts w:ascii="Times New Roman" w:hAnsi="Times New Roman" w:cs="Times New Roman"/>
          <w:i/>
          <w:iCs/>
          <w:lang w:val="en-US"/>
        </w:rPr>
        <w:t>t</w:t>
      </w:r>
      <w:r w:rsidR="00CB2037" w:rsidRPr="00CB2037">
        <w:rPr>
          <w:rFonts w:ascii="Times New Roman" w:hAnsi="Times New Roman" w:cs="Times New Roman"/>
          <w:i/>
          <w:iCs/>
          <w:lang w:val="en-US"/>
        </w:rPr>
        <w:t xml:space="preserve">ransformation, </w:t>
      </w:r>
      <w:r w:rsidR="00CB2037">
        <w:rPr>
          <w:rFonts w:ascii="Times New Roman" w:hAnsi="Times New Roman" w:cs="Times New Roman"/>
          <w:i/>
          <w:iCs/>
          <w:lang w:val="en-US"/>
        </w:rPr>
        <w:t>h</w:t>
      </w:r>
      <w:r w:rsidR="00CB2037" w:rsidRPr="00CB2037">
        <w:rPr>
          <w:rFonts w:ascii="Times New Roman" w:hAnsi="Times New Roman" w:cs="Times New Roman"/>
          <w:i/>
          <w:iCs/>
          <w:lang w:val="en-US"/>
        </w:rPr>
        <w:t>uman-</w:t>
      </w:r>
      <w:r w:rsidR="00CB2037">
        <w:rPr>
          <w:rFonts w:ascii="Times New Roman" w:hAnsi="Times New Roman" w:cs="Times New Roman"/>
          <w:i/>
          <w:iCs/>
          <w:lang w:val="en-US"/>
        </w:rPr>
        <w:t>c</w:t>
      </w:r>
      <w:r w:rsidR="00CB2037" w:rsidRPr="00CB2037">
        <w:rPr>
          <w:rFonts w:ascii="Times New Roman" w:hAnsi="Times New Roman" w:cs="Times New Roman"/>
          <w:i/>
          <w:iCs/>
          <w:lang w:val="en-US"/>
        </w:rPr>
        <w:t xml:space="preserve">entered </w:t>
      </w:r>
      <w:r w:rsidR="00CB2037">
        <w:rPr>
          <w:rFonts w:ascii="Times New Roman" w:hAnsi="Times New Roman" w:cs="Times New Roman"/>
          <w:i/>
          <w:iCs/>
          <w:lang w:val="en-US"/>
        </w:rPr>
        <w:t>l</w:t>
      </w:r>
      <w:r w:rsidR="00CB2037" w:rsidRPr="00CB2037">
        <w:rPr>
          <w:rFonts w:ascii="Times New Roman" w:hAnsi="Times New Roman" w:cs="Times New Roman"/>
          <w:i/>
          <w:iCs/>
          <w:lang w:val="en-US"/>
        </w:rPr>
        <w:t xml:space="preserve">earning, </w:t>
      </w:r>
      <w:r w:rsidR="00CB2037">
        <w:rPr>
          <w:rFonts w:ascii="Times New Roman" w:hAnsi="Times New Roman" w:cs="Times New Roman"/>
          <w:i/>
          <w:iCs/>
          <w:lang w:val="en-US"/>
        </w:rPr>
        <w:t>m</w:t>
      </w:r>
      <w:r w:rsidR="00CB2037" w:rsidRPr="00CB2037">
        <w:rPr>
          <w:rFonts w:ascii="Times New Roman" w:hAnsi="Times New Roman" w:cs="Times New Roman"/>
          <w:i/>
          <w:iCs/>
          <w:lang w:val="en-US"/>
        </w:rPr>
        <w:t>useum-</w:t>
      </w:r>
      <w:r w:rsidR="00CB2037">
        <w:rPr>
          <w:rFonts w:ascii="Times New Roman" w:hAnsi="Times New Roman" w:cs="Times New Roman"/>
          <w:i/>
          <w:iCs/>
          <w:lang w:val="en-US"/>
        </w:rPr>
        <w:t>b</w:t>
      </w:r>
      <w:r w:rsidR="00CB2037" w:rsidRPr="00CB2037">
        <w:rPr>
          <w:rFonts w:ascii="Times New Roman" w:hAnsi="Times New Roman" w:cs="Times New Roman"/>
          <w:i/>
          <w:iCs/>
          <w:lang w:val="en-US"/>
        </w:rPr>
        <w:t xml:space="preserve">ased </w:t>
      </w:r>
      <w:r w:rsidR="00CB2037">
        <w:rPr>
          <w:rFonts w:ascii="Times New Roman" w:hAnsi="Times New Roman" w:cs="Times New Roman"/>
          <w:i/>
          <w:iCs/>
          <w:lang w:val="en-US"/>
        </w:rPr>
        <w:t>l</w:t>
      </w:r>
      <w:r w:rsidR="00CB2037" w:rsidRPr="00CB2037">
        <w:rPr>
          <w:rFonts w:ascii="Times New Roman" w:hAnsi="Times New Roman" w:cs="Times New Roman"/>
          <w:i/>
          <w:iCs/>
          <w:lang w:val="en-US"/>
        </w:rPr>
        <w:t xml:space="preserve">earning (MBL), </w:t>
      </w:r>
      <w:r w:rsidR="00CB2037">
        <w:rPr>
          <w:rFonts w:ascii="Times New Roman" w:hAnsi="Times New Roman" w:cs="Times New Roman"/>
          <w:i/>
          <w:iCs/>
          <w:lang w:val="en-US"/>
        </w:rPr>
        <w:t>q</w:t>
      </w:r>
      <w:r w:rsidR="00CB2037" w:rsidRPr="00CB2037">
        <w:rPr>
          <w:rFonts w:ascii="Times New Roman" w:hAnsi="Times New Roman" w:cs="Times New Roman"/>
          <w:i/>
          <w:iCs/>
          <w:lang w:val="en-US"/>
        </w:rPr>
        <w:t xml:space="preserve">ualitative </w:t>
      </w:r>
      <w:r w:rsidR="00CB2037">
        <w:rPr>
          <w:rFonts w:ascii="Times New Roman" w:hAnsi="Times New Roman" w:cs="Times New Roman"/>
          <w:i/>
          <w:iCs/>
          <w:lang w:val="en-US"/>
        </w:rPr>
        <w:t>s</w:t>
      </w:r>
      <w:r w:rsidR="00CB2037" w:rsidRPr="00CB2037">
        <w:rPr>
          <w:rFonts w:ascii="Times New Roman" w:hAnsi="Times New Roman" w:cs="Times New Roman"/>
          <w:i/>
          <w:iCs/>
          <w:lang w:val="en-US"/>
        </w:rPr>
        <w:t xml:space="preserve">ynthesis, </w:t>
      </w:r>
      <w:r w:rsidR="00CB2037">
        <w:rPr>
          <w:rFonts w:ascii="Times New Roman" w:hAnsi="Times New Roman" w:cs="Times New Roman"/>
          <w:i/>
          <w:iCs/>
          <w:lang w:val="en-US"/>
        </w:rPr>
        <w:t>s</w:t>
      </w:r>
      <w:r w:rsidR="00CB2037" w:rsidRPr="00CB2037">
        <w:rPr>
          <w:rFonts w:ascii="Times New Roman" w:hAnsi="Times New Roman" w:cs="Times New Roman"/>
          <w:i/>
          <w:iCs/>
          <w:lang w:val="en-US"/>
        </w:rPr>
        <w:t xml:space="preserve">tudent </w:t>
      </w:r>
      <w:r w:rsidR="00CB2037">
        <w:rPr>
          <w:rFonts w:ascii="Times New Roman" w:hAnsi="Times New Roman" w:cs="Times New Roman"/>
          <w:i/>
          <w:iCs/>
          <w:lang w:val="en-US"/>
        </w:rPr>
        <w:t>p</w:t>
      </w:r>
      <w:r w:rsidR="00CB2037" w:rsidRPr="00CB2037">
        <w:rPr>
          <w:rFonts w:ascii="Times New Roman" w:hAnsi="Times New Roman" w:cs="Times New Roman"/>
          <w:i/>
          <w:iCs/>
          <w:lang w:val="en-US"/>
        </w:rPr>
        <w:t>erspectives</w:t>
      </w:r>
    </w:p>
    <w:p w14:paraId="346BE183" w14:textId="62BE4F25" w:rsidR="00C57B41" w:rsidRPr="00294AC2" w:rsidRDefault="00107374" w:rsidP="00294AC2">
      <w:pPr>
        <w:spacing w:line="480" w:lineRule="auto"/>
        <w:rPr>
          <w:rFonts w:ascii="Times New Roman" w:hAnsi="Times New Roman" w:cs="Times New Roman"/>
          <w:b/>
          <w:bCs/>
          <w:lang w:val="en-US"/>
        </w:rPr>
      </w:pPr>
      <w:r w:rsidRPr="00294AC2">
        <w:rPr>
          <w:rFonts w:ascii="Times New Roman" w:hAnsi="Times New Roman" w:cs="Times New Roman"/>
          <w:lang w:val="en-US"/>
        </w:rPr>
        <w:t xml:space="preserve"> </w:t>
      </w:r>
    </w:p>
    <w:sectPr w:rsidR="00C57B41" w:rsidRPr="00294AC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E877" w14:textId="77777777" w:rsidR="00712349" w:rsidRDefault="00712349" w:rsidP="00C57B41">
      <w:r>
        <w:separator/>
      </w:r>
    </w:p>
  </w:endnote>
  <w:endnote w:type="continuationSeparator" w:id="0">
    <w:p w14:paraId="44909D88" w14:textId="77777777" w:rsidR="00712349" w:rsidRDefault="00712349"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rirong">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9A07" w14:textId="77777777" w:rsidR="00712349" w:rsidRDefault="00712349" w:rsidP="00C57B41">
      <w:r>
        <w:separator/>
      </w:r>
    </w:p>
  </w:footnote>
  <w:footnote w:type="continuationSeparator" w:id="0">
    <w:p w14:paraId="76C56307" w14:textId="77777777" w:rsidR="00712349" w:rsidRDefault="00712349"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7BD" w14:textId="1EDE4641" w:rsidR="00C57B41" w:rsidRDefault="00C57B41">
    <w:pPr>
      <w:pStyle w:val="a5"/>
    </w:pPr>
    <w:r>
      <w:t>IPRC2025-Abstract</w:t>
    </w:r>
  </w:p>
  <w:p w14:paraId="02E7A80E" w14:textId="77777777" w:rsidR="00C57B41" w:rsidRDefault="00C57B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C37E669C"/>
    <w:lvl w:ilvl="0" w:tplc="05B0936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175003">
    <w:abstractNumId w:val="6"/>
  </w:num>
  <w:num w:numId="2" w16cid:durableId="889533223">
    <w:abstractNumId w:val="7"/>
  </w:num>
  <w:num w:numId="3" w16cid:durableId="1824852814">
    <w:abstractNumId w:val="3"/>
  </w:num>
  <w:num w:numId="4" w16cid:durableId="2038264310">
    <w:abstractNumId w:val="8"/>
  </w:num>
  <w:num w:numId="5" w16cid:durableId="1099764245">
    <w:abstractNumId w:val="4"/>
  </w:num>
  <w:num w:numId="6" w16cid:durableId="1313365362">
    <w:abstractNumId w:val="10"/>
  </w:num>
  <w:num w:numId="7" w16cid:durableId="311983104">
    <w:abstractNumId w:val="1"/>
  </w:num>
  <w:num w:numId="8" w16cid:durableId="1003243527">
    <w:abstractNumId w:val="0"/>
  </w:num>
  <w:num w:numId="9" w16cid:durableId="670453496">
    <w:abstractNumId w:val="2"/>
  </w:num>
  <w:num w:numId="10" w16cid:durableId="1589271577">
    <w:abstractNumId w:val="5"/>
  </w:num>
  <w:num w:numId="11" w16cid:durableId="1892959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C5048"/>
    <w:rsid w:val="00107374"/>
    <w:rsid w:val="001135D9"/>
    <w:rsid w:val="001155CD"/>
    <w:rsid w:val="001E0D49"/>
    <w:rsid w:val="002330B0"/>
    <w:rsid w:val="00276E0F"/>
    <w:rsid w:val="00294AC2"/>
    <w:rsid w:val="002C3E3F"/>
    <w:rsid w:val="002F7849"/>
    <w:rsid w:val="00313C65"/>
    <w:rsid w:val="0031433E"/>
    <w:rsid w:val="00395231"/>
    <w:rsid w:val="003D27A3"/>
    <w:rsid w:val="004465A9"/>
    <w:rsid w:val="004F0FFD"/>
    <w:rsid w:val="00515B96"/>
    <w:rsid w:val="00532255"/>
    <w:rsid w:val="006130E0"/>
    <w:rsid w:val="00652779"/>
    <w:rsid w:val="00686DCE"/>
    <w:rsid w:val="006F3219"/>
    <w:rsid w:val="00712349"/>
    <w:rsid w:val="00723555"/>
    <w:rsid w:val="00743812"/>
    <w:rsid w:val="007679AC"/>
    <w:rsid w:val="007C6F28"/>
    <w:rsid w:val="007D7644"/>
    <w:rsid w:val="007F24AC"/>
    <w:rsid w:val="00821923"/>
    <w:rsid w:val="0086557A"/>
    <w:rsid w:val="00882298"/>
    <w:rsid w:val="00882915"/>
    <w:rsid w:val="00886910"/>
    <w:rsid w:val="008B6A85"/>
    <w:rsid w:val="00933695"/>
    <w:rsid w:val="009520B7"/>
    <w:rsid w:val="00972B4E"/>
    <w:rsid w:val="009B3880"/>
    <w:rsid w:val="009B5A4C"/>
    <w:rsid w:val="009D6B59"/>
    <w:rsid w:val="009E4B10"/>
    <w:rsid w:val="009F1EA4"/>
    <w:rsid w:val="009F2258"/>
    <w:rsid w:val="00B56603"/>
    <w:rsid w:val="00C0014A"/>
    <w:rsid w:val="00C57B41"/>
    <w:rsid w:val="00C731AB"/>
    <w:rsid w:val="00C9248D"/>
    <w:rsid w:val="00CB2037"/>
    <w:rsid w:val="00CC6995"/>
    <w:rsid w:val="00D13303"/>
    <w:rsid w:val="00D23EBE"/>
    <w:rsid w:val="00D601B8"/>
    <w:rsid w:val="00D63309"/>
    <w:rsid w:val="00DA5098"/>
    <w:rsid w:val="00DF2911"/>
    <w:rsid w:val="00E1725C"/>
    <w:rsid w:val="00E3760D"/>
    <w:rsid w:val="00F43EF3"/>
    <w:rsid w:val="00FC68CE"/>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D49"/>
    <w:pPr>
      <w:ind w:left="720"/>
      <w:contextualSpacing/>
    </w:pPr>
  </w:style>
  <w:style w:type="paragraph" w:styleId="a4">
    <w:name w:val="Revision"/>
    <w:hidden/>
    <w:uiPriority w:val="99"/>
    <w:semiHidden/>
    <w:rsid w:val="00886910"/>
  </w:style>
  <w:style w:type="paragraph" w:styleId="a5">
    <w:name w:val="header"/>
    <w:basedOn w:val="a"/>
    <w:link w:val="a6"/>
    <w:uiPriority w:val="99"/>
    <w:unhideWhenUsed/>
    <w:rsid w:val="00C57B41"/>
    <w:pPr>
      <w:tabs>
        <w:tab w:val="center" w:pos="4680"/>
        <w:tab w:val="right" w:pos="9360"/>
      </w:tabs>
    </w:pPr>
  </w:style>
  <w:style w:type="character" w:customStyle="1" w:styleId="a6">
    <w:name w:val="หัวกระดาษ อักขระ"/>
    <w:basedOn w:val="a0"/>
    <w:link w:val="a5"/>
    <w:uiPriority w:val="99"/>
    <w:rsid w:val="00C57B41"/>
  </w:style>
  <w:style w:type="paragraph" w:styleId="a7">
    <w:name w:val="footer"/>
    <w:basedOn w:val="a"/>
    <w:link w:val="a8"/>
    <w:uiPriority w:val="99"/>
    <w:unhideWhenUsed/>
    <w:rsid w:val="00C57B41"/>
    <w:pPr>
      <w:tabs>
        <w:tab w:val="center" w:pos="4680"/>
        <w:tab w:val="right" w:pos="9360"/>
      </w:tabs>
    </w:pPr>
  </w:style>
  <w:style w:type="character" w:customStyle="1" w:styleId="a8">
    <w:name w:val="ท้ายกระดาษ อักขระ"/>
    <w:basedOn w:val="a0"/>
    <w:link w:val="a7"/>
    <w:uiPriority w:val="99"/>
    <w:rsid w:val="00C5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Tulip Fang</cp:lastModifiedBy>
  <cp:revision>3</cp:revision>
  <dcterms:created xsi:type="dcterms:W3CDTF">2025-07-29T14:59:00Z</dcterms:created>
  <dcterms:modified xsi:type="dcterms:W3CDTF">2025-07-29T15:20:00Z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