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A42E9" w:rsidRDefault="003F3E44">
      <w:pPr>
        <w:spacing w:after="0" w:line="240" w:lineRule="auto"/>
        <w:ind w:right="1112"/>
        <w:jc w:val="center"/>
        <w:rPr>
          <w:b/>
          <w:color w:val="000000"/>
          <w:sz w:val="28"/>
          <w:szCs w:val="28"/>
        </w:rPr>
      </w:pPr>
      <w:r>
        <w:rPr>
          <w:b/>
          <w:color w:val="000000"/>
          <w:sz w:val="28"/>
          <w:szCs w:val="28"/>
        </w:rPr>
        <w:t xml:space="preserve">The Role of Mindfulness, Religiosity and Post-Traumatic Growth in the </w:t>
      </w:r>
      <w:r>
        <w:rPr>
          <w:b/>
          <w:sz w:val="28"/>
          <w:szCs w:val="28"/>
        </w:rPr>
        <w:t>Development</w:t>
      </w:r>
      <w:r>
        <w:rPr>
          <w:b/>
          <w:color w:val="000000"/>
          <w:sz w:val="28"/>
          <w:szCs w:val="28"/>
        </w:rPr>
        <w:t xml:space="preserve"> of Psychological Well-being among Former Detainees Convicted of Violent Extremism in Malaysia</w:t>
      </w:r>
    </w:p>
    <w:p w14:paraId="00000002" w14:textId="77777777" w:rsidR="003A42E9" w:rsidRDefault="003A42E9">
      <w:pPr>
        <w:spacing w:after="0" w:line="240" w:lineRule="auto"/>
        <w:jc w:val="center"/>
        <w:rPr>
          <w:b/>
          <w:color w:val="000000"/>
        </w:rPr>
      </w:pPr>
    </w:p>
    <w:p w14:paraId="00000003" w14:textId="77777777" w:rsidR="003A42E9" w:rsidRDefault="003F3E44">
      <w:pPr>
        <w:spacing w:after="0" w:line="240" w:lineRule="auto"/>
        <w:ind w:left="-1418"/>
        <w:jc w:val="center"/>
      </w:pPr>
      <w:r>
        <w:rPr>
          <w:color w:val="000000"/>
          <w:sz w:val="22"/>
          <w:szCs w:val="22"/>
        </w:rPr>
        <w:t xml:space="preserve">Nur </w:t>
      </w:r>
      <w:proofErr w:type="spellStart"/>
      <w:r>
        <w:rPr>
          <w:color w:val="000000"/>
          <w:sz w:val="22"/>
          <w:szCs w:val="22"/>
        </w:rPr>
        <w:t>Najlaa</w:t>
      </w:r>
      <w:proofErr w:type="spellEnd"/>
      <w:r>
        <w:rPr>
          <w:color w:val="000000"/>
          <w:sz w:val="22"/>
          <w:szCs w:val="22"/>
        </w:rPr>
        <w:t xml:space="preserve"> </w:t>
      </w:r>
      <w:proofErr w:type="spellStart"/>
      <w:r>
        <w:rPr>
          <w:color w:val="000000"/>
          <w:sz w:val="22"/>
          <w:szCs w:val="22"/>
        </w:rPr>
        <w:t>Fayyadhah</w:t>
      </w:r>
      <w:proofErr w:type="spellEnd"/>
      <w:r>
        <w:rPr>
          <w:color w:val="000000"/>
          <w:sz w:val="22"/>
          <w:szCs w:val="22"/>
        </w:rPr>
        <w:t xml:space="preserve"> binti Norhasmi</w:t>
      </w:r>
      <w:r>
        <w:rPr>
          <w:color w:val="000000"/>
          <w:sz w:val="13"/>
          <w:szCs w:val="13"/>
          <w:vertAlign w:val="superscript"/>
        </w:rPr>
        <w:t>1</w:t>
      </w:r>
      <w:r>
        <w:rPr>
          <w:color w:val="000000"/>
          <w:sz w:val="22"/>
          <w:szCs w:val="22"/>
        </w:rPr>
        <w:t>, Nurul Miza binti Mohd Rashid</w:t>
      </w:r>
      <w:r>
        <w:rPr>
          <w:i/>
          <w:color w:val="000000"/>
          <w:sz w:val="13"/>
          <w:szCs w:val="13"/>
          <w:vertAlign w:val="superscript"/>
        </w:rPr>
        <w:t>,2</w:t>
      </w:r>
    </w:p>
    <w:p w14:paraId="00000004" w14:textId="77777777" w:rsidR="003A42E9" w:rsidRDefault="003A42E9">
      <w:pPr>
        <w:spacing w:after="0" w:line="240" w:lineRule="auto"/>
        <w:ind w:left="-1418"/>
      </w:pPr>
    </w:p>
    <w:p w14:paraId="00000005" w14:textId="77777777" w:rsidR="003A42E9" w:rsidRDefault="003F3E44">
      <w:pPr>
        <w:spacing w:after="0" w:line="240" w:lineRule="auto"/>
        <w:ind w:left="-1418"/>
        <w:jc w:val="center"/>
      </w:pPr>
      <w:r>
        <w:rPr>
          <w:i/>
          <w:color w:val="000000"/>
          <w:sz w:val="13"/>
          <w:szCs w:val="13"/>
          <w:vertAlign w:val="superscript"/>
        </w:rPr>
        <w:t>1</w:t>
      </w:r>
      <w:r>
        <w:rPr>
          <w:i/>
          <w:color w:val="000000"/>
          <w:sz w:val="22"/>
          <w:szCs w:val="22"/>
        </w:rPr>
        <w:t>Postgraduate Student, International Islamic University Malaysia</w:t>
      </w:r>
    </w:p>
    <w:p w14:paraId="00000006" w14:textId="77777777" w:rsidR="003A42E9" w:rsidRDefault="003F3E44">
      <w:pPr>
        <w:spacing w:after="0" w:line="240" w:lineRule="auto"/>
        <w:ind w:left="-1418"/>
        <w:jc w:val="center"/>
      </w:pPr>
      <w:r>
        <w:rPr>
          <w:i/>
          <w:color w:val="000000"/>
          <w:sz w:val="14"/>
          <w:szCs w:val="14"/>
          <w:vertAlign w:val="superscript"/>
        </w:rPr>
        <w:t>2</w:t>
      </w:r>
      <w:r>
        <w:rPr>
          <w:i/>
          <w:color w:val="000000"/>
          <w:sz w:val="22"/>
          <w:szCs w:val="22"/>
        </w:rPr>
        <w:t>International Islamic University Malaysia</w:t>
      </w:r>
    </w:p>
    <w:p w14:paraId="00000007" w14:textId="77777777" w:rsidR="003A42E9" w:rsidRDefault="003A42E9">
      <w:pPr>
        <w:spacing w:after="240" w:line="240" w:lineRule="auto"/>
      </w:pPr>
    </w:p>
    <w:p w14:paraId="00000008" w14:textId="77777777" w:rsidR="003A42E9" w:rsidRDefault="003F3E44">
      <w:pPr>
        <w:spacing w:after="0" w:line="240" w:lineRule="auto"/>
        <w:ind w:left="-1276"/>
        <w:jc w:val="center"/>
        <w:rPr>
          <w:b/>
          <w:color w:val="000000"/>
          <w:sz w:val="22"/>
          <w:szCs w:val="22"/>
        </w:rPr>
      </w:pPr>
      <w:r>
        <w:rPr>
          <w:b/>
          <w:color w:val="000000"/>
          <w:sz w:val="22"/>
          <w:szCs w:val="22"/>
        </w:rPr>
        <w:t>ABSTRACT</w:t>
      </w:r>
    </w:p>
    <w:p w14:paraId="00000009" w14:textId="77777777" w:rsidR="003A42E9" w:rsidRDefault="003A42E9">
      <w:pPr>
        <w:spacing w:after="0" w:line="240" w:lineRule="auto"/>
        <w:jc w:val="center"/>
      </w:pPr>
    </w:p>
    <w:p w14:paraId="0000000A" w14:textId="77777777" w:rsidR="003A42E9" w:rsidRDefault="003F3E44">
      <w:pPr>
        <w:spacing w:after="0" w:line="276" w:lineRule="auto"/>
        <w:ind w:right="1110"/>
        <w:jc w:val="both"/>
      </w:pPr>
      <w:r>
        <w:rPr>
          <w:color w:val="000000"/>
          <w:sz w:val="22"/>
          <w:szCs w:val="22"/>
        </w:rPr>
        <w:t xml:space="preserve">Detainees encounter a broader range of traumatic incidents that occurred and persisted for an extended duration as they may be exposed to social disadvantage, domestic violence, substance abuse and discrimination. However, this may apply differently across different individuals due to personal resilience that may be affected by selected psychological factors. Hence, this study was conducted </w:t>
      </w:r>
      <w:r>
        <w:rPr>
          <w:sz w:val="22"/>
          <w:szCs w:val="22"/>
        </w:rPr>
        <w:t>to explore</w:t>
      </w:r>
      <w:r>
        <w:rPr>
          <w:color w:val="000000"/>
          <w:sz w:val="22"/>
          <w:szCs w:val="22"/>
        </w:rPr>
        <w:t xml:space="preserve"> the impact of mindfulness, religiosity and post-traumatic growth (PTG) on psychological well-being (PWB) among former detainees convicted of violent extremism in Malaysia. As </w:t>
      </w:r>
      <w:proofErr w:type="gramStart"/>
      <w:r>
        <w:rPr>
          <w:color w:val="000000"/>
          <w:sz w:val="22"/>
          <w:szCs w:val="22"/>
        </w:rPr>
        <w:t>a pre</w:t>
      </w:r>
      <w:r>
        <w:rPr>
          <w:sz w:val="22"/>
          <w:szCs w:val="22"/>
        </w:rPr>
        <w:t>liminary research</w:t>
      </w:r>
      <w:proofErr w:type="gramEnd"/>
      <w:r>
        <w:rPr>
          <w:sz w:val="22"/>
          <w:szCs w:val="22"/>
        </w:rPr>
        <w:t xml:space="preserve"> on a highly sensitive topic, t</w:t>
      </w:r>
      <w:r>
        <w:rPr>
          <w:color w:val="000000"/>
          <w:sz w:val="22"/>
          <w:szCs w:val="22"/>
        </w:rPr>
        <w:t>his study manage</w:t>
      </w:r>
      <w:r>
        <w:rPr>
          <w:sz w:val="22"/>
          <w:szCs w:val="22"/>
        </w:rPr>
        <w:t>d to recruit</w:t>
      </w:r>
      <w:r>
        <w:rPr>
          <w:color w:val="000000"/>
          <w:sz w:val="22"/>
          <w:szCs w:val="22"/>
        </w:rPr>
        <w:t xml:space="preserve"> four participants who were previously convicted of violent extremism using the snowball sampling technique. This study employed a phenomenological research design. The qualitative approach considers the subjective perception of the participants</w:t>
      </w:r>
      <w:r>
        <w:rPr>
          <w:color w:val="000000"/>
          <w:sz w:val="22"/>
          <w:szCs w:val="22"/>
        </w:rPr>
        <w:t xml:space="preserve">’ experience </w:t>
      </w:r>
      <w:proofErr w:type="gramStart"/>
      <w:r>
        <w:rPr>
          <w:color w:val="000000"/>
          <w:sz w:val="22"/>
          <w:szCs w:val="22"/>
        </w:rPr>
        <w:t>in light of</w:t>
      </w:r>
      <w:proofErr w:type="gramEnd"/>
      <w:r>
        <w:rPr>
          <w:color w:val="000000"/>
          <w:sz w:val="22"/>
          <w:szCs w:val="22"/>
        </w:rPr>
        <w:t xml:space="preserve"> their arrest and life experiences after being released from prison. This study used theory-led thematic analysis (TA) to analyse the data from the semi-structured </w:t>
      </w:r>
      <w:r>
        <w:rPr>
          <w:sz w:val="22"/>
          <w:szCs w:val="22"/>
        </w:rPr>
        <w:t xml:space="preserve">interviews. The analysis revealed </w:t>
      </w:r>
      <w:r>
        <w:rPr>
          <w:color w:val="000000"/>
          <w:sz w:val="22"/>
          <w:szCs w:val="22"/>
        </w:rPr>
        <w:t xml:space="preserve">that the </w:t>
      </w:r>
      <w:r>
        <w:rPr>
          <w:sz w:val="22"/>
          <w:szCs w:val="22"/>
        </w:rPr>
        <w:t>former detainees utilised personalised coping strategies that are shaped by mindfulness and religiosity, which had greatly facilitated PTG</w:t>
      </w:r>
      <w:r>
        <w:rPr>
          <w:color w:val="000000"/>
          <w:sz w:val="22"/>
          <w:szCs w:val="22"/>
        </w:rPr>
        <w:t xml:space="preserve"> </w:t>
      </w:r>
      <w:r>
        <w:rPr>
          <w:sz w:val="22"/>
          <w:szCs w:val="22"/>
        </w:rPr>
        <w:t>and eventually contributed</w:t>
      </w:r>
      <w:r>
        <w:rPr>
          <w:color w:val="000000"/>
          <w:sz w:val="22"/>
          <w:szCs w:val="22"/>
        </w:rPr>
        <w:t xml:space="preserve"> </w:t>
      </w:r>
      <w:r>
        <w:rPr>
          <w:sz w:val="22"/>
          <w:szCs w:val="22"/>
        </w:rPr>
        <w:t>to the psychological</w:t>
      </w:r>
      <w:r>
        <w:rPr>
          <w:color w:val="000000"/>
          <w:sz w:val="22"/>
          <w:szCs w:val="22"/>
        </w:rPr>
        <w:t xml:space="preserve"> well-being. This study has </w:t>
      </w:r>
      <w:r>
        <w:rPr>
          <w:sz w:val="22"/>
          <w:szCs w:val="22"/>
        </w:rPr>
        <w:t>contributed</w:t>
      </w:r>
      <w:r>
        <w:rPr>
          <w:color w:val="000000"/>
          <w:sz w:val="22"/>
          <w:szCs w:val="22"/>
        </w:rPr>
        <w:t xml:space="preserve"> to several new insights int</w:t>
      </w:r>
      <w:r>
        <w:rPr>
          <w:sz w:val="22"/>
          <w:szCs w:val="22"/>
        </w:rPr>
        <w:t>o the subject of counterterr</w:t>
      </w:r>
      <w:r>
        <w:rPr>
          <w:sz w:val="22"/>
          <w:szCs w:val="22"/>
        </w:rPr>
        <w:t xml:space="preserve">orism rehabilitation and psychological recovery in Malaysia, highlighting the role of religiosity and mindfulness as an effective tool for emotional management, the presence of PTG and the need to revise deradicalisation programs and SOSMA based on the authenticity and psychological insight. </w:t>
      </w:r>
      <w:r>
        <w:rPr>
          <w:color w:val="000000"/>
          <w:sz w:val="22"/>
          <w:szCs w:val="22"/>
        </w:rPr>
        <w:t xml:space="preserve">Hence, future research can build on these findings to explore key aspects of mindfulness, religiosity, and PTG in the rehabilitation and reintegration of former detainees. </w:t>
      </w:r>
      <w:r>
        <w:rPr>
          <w:sz w:val="22"/>
          <w:szCs w:val="22"/>
        </w:rPr>
        <w:t xml:space="preserve">Moreover, </w:t>
      </w:r>
      <w:r>
        <w:rPr>
          <w:color w:val="000000"/>
          <w:sz w:val="22"/>
          <w:szCs w:val="22"/>
        </w:rPr>
        <w:t xml:space="preserve">future research may also explore how </w:t>
      </w:r>
      <w:r>
        <w:rPr>
          <w:sz w:val="22"/>
          <w:szCs w:val="22"/>
        </w:rPr>
        <w:t>Artificial</w:t>
      </w:r>
      <w:r>
        <w:rPr>
          <w:color w:val="000000"/>
          <w:sz w:val="22"/>
          <w:szCs w:val="22"/>
        </w:rPr>
        <w:t xml:space="preserve"> Intelligence (AI) can enhance psychological support through culturally sensitive tools</w:t>
      </w:r>
      <w:r>
        <w:rPr>
          <w:sz w:val="22"/>
          <w:szCs w:val="22"/>
        </w:rPr>
        <w:t xml:space="preserve">, </w:t>
      </w:r>
      <w:r>
        <w:rPr>
          <w:color w:val="000000"/>
          <w:sz w:val="22"/>
          <w:szCs w:val="22"/>
        </w:rPr>
        <w:t xml:space="preserve">including AI-powered mindfulness apps, conversational AI that integrates Islamic perspectives, and anonymous virtual platforms </w:t>
      </w:r>
      <w:r>
        <w:rPr>
          <w:sz w:val="22"/>
          <w:szCs w:val="22"/>
        </w:rPr>
        <w:t>that align</w:t>
      </w:r>
      <w:r>
        <w:rPr>
          <w:color w:val="000000"/>
          <w:sz w:val="22"/>
          <w:szCs w:val="22"/>
        </w:rPr>
        <w:t xml:space="preserve"> with the emotional and spiritual coping mechanisms identified in</w:t>
      </w:r>
      <w:r>
        <w:rPr>
          <w:sz w:val="22"/>
          <w:szCs w:val="22"/>
        </w:rPr>
        <w:t xml:space="preserve"> this study</w:t>
      </w:r>
      <w:r>
        <w:rPr>
          <w:color w:val="000000"/>
          <w:sz w:val="22"/>
          <w:szCs w:val="22"/>
        </w:rPr>
        <w:t xml:space="preserve"> among the former detainees.</w:t>
      </w:r>
    </w:p>
    <w:p w14:paraId="0000000B" w14:textId="77777777" w:rsidR="003A42E9" w:rsidRDefault="003A42E9">
      <w:pPr>
        <w:spacing w:after="0"/>
      </w:pPr>
    </w:p>
    <w:p w14:paraId="0000000C" w14:textId="77777777" w:rsidR="003A42E9" w:rsidRDefault="003F3E44">
      <w:pPr>
        <w:spacing w:after="0"/>
        <w:ind w:right="1112"/>
        <w:jc w:val="both"/>
      </w:pPr>
      <w:r>
        <w:rPr>
          <w:i/>
          <w:color w:val="000000"/>
          <w:sz w:val="22"/>
          <w:szCs w:val="22"/>
        </w:rPr>
        <w:t xml:space="preserve">Keywords: </w:t>
      </w:r>
      <w:r>
        <w:rPr>
          <w:color w:val="000000"/>
          <w:sz w:val="22"/>
          <w:szCs w:val="22"/>
        </w:rPr>
        <w:t>mindfulness, religiosity, post-traumatic growth, psychological well-being, violent extremism, former detainees</w:t>
      </w:r>
    </w:p>
    <w:p w14:paraId="0000000D" w14:textId="77777777" w:rsidR="003A42E9" w:rsidRDefault="003A42E9">
      <w:pPr>
        <w:spacing w:line="276" w:lineRule="auto"/>
      </w:pPr>
    </w:p>
    <w:sectPr w:rsidR="003A42E9">
      <w:pgSz w:w="11906" w:h="16838"/>
      <w:pgMar w:top="1440" w:right="282"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E4258BB5-B73D-4434-B092-063FE490FEC5}"/>
  </w:font>
  <w:font w:name="Aptos">
    <w:charset w:val="00"/>
    <w:family w:val="swiss"/>
    <w:pitch w:val="variable"/>
    <w:sig w:usb0="20000287" w:usb1="00000003" w:usb2="00000000" w:usb3="00000000" w:csb0="0000019F" w:csb1="00000000"/>
    <w:embedRegular r:id="rId2" w:fontKey="{0E1DF088-4993-4D06-B0C4-F5B6E4EC2757}"/>
    <w:embedItalic r:id="rId3" w:fontKey="{413965FB-4FD5-499E-9044-E51815FE98D0}"/>
  </w:font>
  <w:font w:name="Angsana New">
    <w:panose1 w:val="02020603050405020304"/>
    <w:charset w:val="00"/>
    <w:family w:val="roman"/>
    <w:pitch w:val="variable"/>
    <w:sig w:usb0="81000003" w:usb1="00000000" w:usb2="00000000" w:usb3="00000000" w:csb0="00010001" w:csb1="00000000"/>
    <w:embedRegular r:id="rId4" w:fontKey="{10731420-1AE4-44C9-BF74-E04904F69751}"/>
    <w:embedItalic r:id="rId5" w:fontKey="{6F8564D1-ED4D-4A92-B687-DC9A1C9EFEF2}"/>
  </w:font>
  <w:font w:name="Aptos Display">
    <w:charset w:val="00"/>
    <w:family w:val="swiss"/>
    <w:pitch w:val="variable"/>
    <w:sig w:usb0="20000287" w:usb1="00000003" w:usb2="00000000" w:usb3="00000000" w:csb0="0000019F" w:csb1="00000000"/>
    <w:embedRegular r:id="rId6" w:fontKey="{985F7BA4-2C37-4928-A6A3-FE2E9DA6CBBC}"/>
  </w:font>
  <w:font w:name="Cordia New">
    <w:panose1 w:val="020B0304020202020204"/>
    <w:charset w:val="00"/>
    <w:family w:val="swiss"/>
    <w:pitch w:val="variable"/>
    <w:sig w:usb0="81000003" w:usb1="00000000" w:usb2="00000000" w:usb3="00000000" w:csb0="00010001" w:csb1="00000000"/>
    <w:embedRegular r:id="rId7" w:fontKey="{9EE6E81B-0834-4546-BA17-5E07974B28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E9"/>
    <w:rsid w:val="003A42E9"/>
    <w:rsid w:val="003F3E44"/>
    <w:rsid w:val="00DA511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ED3B84-EDA9-4370-B5DA-2203A55B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MY" w:eastAsia="en-US" w:bidi="th-TH"/>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Aptos" w:eastAsia="Aptos" w:hAnsi="Aptos" w:cs="Aptos"/>
      <w:i/>
      <w:color w:val="595959"/>
    </w:rPr>
  </w:style>
  <w:style w:type="paragraph" w:styleId="Heading7">
    <w:name w:val="heading 7"/>
    <w:basedOn w:val="Normal"/>
    <w:next w:val="Normal"/>
    <w:link w:val="Heading7Char"/>
    <w:uiPriority w:val="9"/>
    <w:semiHidden/>
    <w:unhideWhenUsed/>
    <w:qFormat/>
    <w:rsid w:val="00632F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2F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2F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632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F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F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2F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2F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2F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2F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2F07"/>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632F0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32F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2F07"/>
    <w:pPr>
      <w:spacing w:before="160"/>
      <w:jc w:val="center"/>
    </w:pPr>
    <w:rPr>
      <w:i/>
      <w:iCs/>
      <w:color w:val="404040" w:themeColor="text1" w:themeTint="BF"/>
    </w:rPr>
  </w:style>
  <w:style w:type="character" w:customStyle="1" w:styleId="QuoteChar">
    <w:name w:val="Quote Char"/>
    <w:basedOn w:val="DefaultParagraphFont"/>
    <w:link w:val="Quote"/>
    <w:uiPriority w:val="29"/>
    <w:rsid w:val="00632F07"/>
    <w:rPr>
      <w:i/>
      <w:iCs/>
      <w:color w:val="404040" w:themeColor="text1" w:themeTint="BF"/>
    </w:rPr>
  </w:style>
  <w:style w:type="paragraph" w:styleId="ListParagraph">
    <w:name w:val="List Paragraph"/>
    <w:basedOn w:val="Normal"/>
    <w:uiPriority w:val="34"/>
    <w:qFormat/>
    <w:rsid w:val="00632F07"/>
    <w:pPr>
      <w:ind w:left="720"/>
      <w:contextualSpacing/>
    </w:pPr>
  </w:style>
  <w:style w:type="character" w:styleId="IntenseEmphasis">
    <w:name w:val="Intense Emphasis"/>
    <w:basedOn w:val="DefaultParagraphFont"/>
    <w:uiPriority w:val="21"/>
    <w:qFormat/>
    <w:rsid w:val="00632F07"/>
    <w:rPr>
      <w:i/>
      <w:iCs/>
      <w:color w:val="0F4761" w:themeColor="accent1" w:themeShade="BF"/>
    </w:rPr>
  </w:style>
  <w:style w:type="paragraph" w:styleId="IntenseQuote">
    <w:name w:val="Intense Quote"/>
    <w:basedOn w:val="Normal"/>
    <w:next w:val="Normal"/>
    <w:link w:val="IntenseQuoteChar"/>
    <w:uiPriority w:val="30"/>
    <w:qFormat/>
    <w:rsid w:val="00632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F07"/>
    <w:rPr>
      <w:i/>
      <w:iCs/>
      <w:color w:val="0F4761" w:themeColor="accent1" w:themeShade="BF"/>
    </w:rPr>
  </w:style>
  <w:style w:type="character" w:styleId="IntenseReference">
    <w:name w:val="Intense Reference"/>
    <w:basedOn w:val="DefaultParagraphFont"/>
    <w:uiPriority w:val="32"/>
    <w:qFormat/>
    <w:rsid w:val="00632F07"/>
    <w:rPr>
      <w:b/>
      <w:bCs/>
      <w:smallCaps/>
      <w:color w:val="0F4761" w:themeColor="accent1" w:themeShade="BF"/>
      <w:spacing w:val="5"/>
    </w:rPr>
  </w:style>
  <w:style w:type="paragraph" w:styleId="NormalWeb">
    <w:name w:val="Normal (Web)"/>
    <w:basedOn w:val="Normal"/>
    <w:uiPriority w:val="99"/>
    <w:semiHidden/>
    <w:unhideWhenUsed/>
    <w:rsid w:val="00632F07"/>
    <w:pPr>
      <w:spacing w:before="100" w:beforeAutospacing="1" w:after="100" w:afterAutospacing="1" w:line="240" w:lineRule="auto"/>
    </w:pPr>
  </w:style>
  <w:style w:type="paragraph" w:styleId="Subtitle">
    <w:name w:val="Subtitle"/>
    <w:basedOn w:val="Normal"/>
    <w:next w:val="Normal"/>
    <w:link w:val="SubtitleChar"/>
    <w:uiPriority w:val="11"/>
    <w:qFormat/>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lIrd5juUUeM9AAdfpT+QH4whcQ==">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2395</Characters>
  <Application>Microsoft Office Word</Application>
  <DocSecurity>0</DocSecurity>
  <Lines>37</Lines>
  <Paragraphs>8</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NAJLAA FAYYADHAH BINTI NORHASMI</dc:creator>
  <cp:lastModifiedBy>Ponjit J</cp:lastModifiedBy>
  <cp:revision>2</cp:revision>
  <dcterms:created xsi:type="dcterms:W3CDTF">2025-08-03T10:41:00Z</dcterms:created>
  <dcterms:modified xsi:type="dcterms:W3CDTF">2025-08-03T10:41:00Z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aa6ba1bd-2934-41d4-b911-9ba51896ec39</vt:lpwstr>
  </property>
</Properties>
</file>